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376"/>
      </w:tblGrid>
      <w:tr w:rsidR="00753D29" w:rsidRPr="00BA701F" w14:paraId="14BAD7DB" w14:textId="77777777" w:rsidTr="00106376">
        <w:trPr>
          <w:trHeight w:val="1896"/>
        </w:trPr>
        <w:tc>
          <w:tcPr>
            <w:tcW w:w="10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B4A4" w14:textId="005E81DE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24"/>
            </w:tblGrid>
            <w:tr w:rsidR="00753D29" w:rsidRPr="00BA701F" w14:paraId="32DBAA93" w14:textId="77777777" w:rsidTr="00106376">
              <w:trPr>
                <w:trHeight w:val="1896"/>
                <w:tblCellSpacing w:w="0" w:type="dxa"/>
              </w:trPr>
              <w:tc>
                <w:tcPr>
                  <w:tcW w:w="1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CFDE233" w14:textId="384ED9A8" w:rsidR="00753D29" w:rsidRPr="00BA701F" w:rsidRDefault="00753D29" w:rsidP="00EF5E2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Kyjovské Slovácko v </w:t>
                  </w:r>
                  <w:proofErr w:type="gramStart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pohybu, z.s.</w:t>
                  </w:r>
                  <w:proofErr w:type="gramEnd"/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 xml:space="preserve">vyhlašuje </w:t>
                  </w:r>
                  <w:r w:rsidR="001C6D37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  <w:t>8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. výzvu</w:t>
                  </w:r>
                  <w:r w:rsidRPr="00BA701F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BA701F">
                    <w:rPr>
                      <w:rFonts w:eastAsia="Times New Roman"/>
                      <w:color w:val="000000"/>
                      <w:sz w:val="28"/>
                      <w:szCs w:val="28"/>
                    </w:rPr>
                    <w:t>s názvem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="001C6D37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Pr="00753D29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. Výzva IROP 21+ </w:t>
                  </w:r>
                  <w:r w:rsidR="00EF5E2B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  <w:t>cestovní ruch</w:t>
                  </w:r>
                </w:p>
              </w:tc>
            </w:tr>
          </w:tbl>
          <w:p w14:paraId="302BA08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5BEE9483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9A7D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Identifikace výzvy</w:t>
            </w:r>
          </w:p>
        </w:tc>
      </w:tr>
      <w:tr w:rsidR="00753D29" w:rsidRPr="00BA701F" w14:paraId="3D0353BE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3D0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Operační program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34C6" w14:textId="77777777" w:rsidR="00753D29" w:rsidRPr="00F77EF5" w:rsidRDefault="00B26049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Integrovaný regionální operační program 2021–2027</w:t>
            </w:r>
          </w:p>
        </w:tc>
      </w:tr>
      <w:tr w:rsidR="00753D29" w:rsidRPr="00BA701F" w14:paraId="519B18D5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0624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DB1" w14:textId="13B09B94" w:rsidR="00753D29" w:rsidRPr="00F77EF5" w:rsidRDefault="00EF5E2B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9A3010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86. výzva IROP - Cestovní ruch - SC 5.1 (CLLD</w:t>
            </w:r>
            <w:r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)</w:t>
            </w:r>
          </w:p>
        </w:tc>
      </w:tr>
      <w:tr w:rsidR="00753D29" w:rsidRPr="00BA701F" w14:paraId="7C9CBF12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4950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Číslo a název výzvy MAS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B5E4" w14:textId="3975236E" w:rsidR="00753D29" w:rsidRPr="00F77EF5" w:rsidRDefault="001C6D37" w:rsidP="00EF5E2B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8</w:t>
            </w:r>
            <w:r w:rsidR="001B2403" w:rsidRPr="00F77EF5">
              <w:rPr>
                <w:rStyle w:val="markedcontent"/>
                <w:rFonts w:asciiTheme="minorHAnsi" w:hAnsiTheme="minorHAnsi" w:cstheme="minorHAnsi"/>
              </w:rPr>
              <w:t xml:space="preserve">. Výzva IROP 21+ </w:t>
            </w:r>
            <w:r w:rsidR="00EF5E2B">
              <w:rPr>
                <w:rStyle w:val="markedcontent"/>
                <w:rFonts w:asciiTheme="minorHAnsi" w:hAnsiTheme="minorHAnsi" w:cstheme="minorHAnsi"/>
              </w:rPr>
              <w:t>cestovní ruch</w:t>
            </w:r>
          </w:p>
        </w:tc>
      </w:tr>
      <w:tr w:rsidR="00753D29" w:rsidRPr="00BA701F" w14:paraId="0D65DDD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5B0E2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Opatření Programového rámce IROP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98E8" w14:textId="2CFFB618" w:rsidR="00753D29" w:rsidRPr="00F77EF5" w:rsidRDefault="00EF5E2B" w:rsidP="00106376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</w:rPr>
              <w:t>Opatření 4 IROP – CESTOVNÍ RUCH</w:t>
            </w:r>
          </w:p>
        </w:tc>
      </w:tr>
      <w:tr w:rsidR="00071D19" w:rsidRPr="00BA701F" w14:paraId="68DD51EC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E5CC94" w14:textId="5BD053A0" w:rsidR="00071D19" w:rsidRPr="00BA701F" w:rsidRDefault="00071D1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Úvodní informace k výzvě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0868" w14:textId="26981B73" w:rsidR="00071D19" w:rsidRPr="00F77EF5" w:rsidRDefault="00071D19" w:rsidP="002F365C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071D19">
              <w:rPr>
                <w:rStyle w:val="markedcontent"/>
                <w:rFonts w:asciiTheme="minorHAnsi" w:hAnsiTheme="minorHAnsi" w:cstheme="minorHAnsi"/>
              </w:rPr>
              <w:t>Výzva MAS je určena pro výběr projektových záměrů, kterým bude na základě procesu výběru stanoveném v Interních postupech MAS vydáno Vyjádření MAS o souladu/nesouladu projektového záměru se schválenou strategií CLLD. Kladné vyjádření vydává MAS pouze do 100% alokace výzvy MAS za splnění podmínek výzvy MAS. Na základě obdržení Vyjádření MAS o souladu se schválenou strategií CLLD jsou žadateli rezervovány prostředky v rámci příslušného opatření programového rámce IROP. Po obdržení Vyjádření MAS o souladu se schválenou strategií CLLD žadatel zahájí dopracování projektového záměru a jeho předložení v systému MS2021+ do příslušné výzvy ŘO. Žadatel se řídí do vydání Právního aktu/Rozhodnutí verzí pravidel účinných v den podání žádosti o podporu. V době realizace a udržitelnosti projektu, tj. od vydání Právního aktu/Rozhodnutí se příjemce řídí aktuálně účinnou verzí pravidel.</w:t>
            </w:r>
          </w:p>
        </w:tc>
      </w:tr>
      <w:tr w:rsidR="00753D29" w:rsidRPr="00BA701F" w14:paraId="6BB3E71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479E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28F4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1718DF38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53E03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Termíny</w:t>
            </w:r>
          </w:p>
        </w:tc>
      </w:tr>
      <w:tr w:rsidR="00753D29" w:rsidRPr="00BA701F" w14:paraId="3BC71565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83100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Datum a čas vyhlášení výzvy MAS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5AD" w14:textId="09B7EAD0" w:rsidR="00753D29" w:rsidRPr="00BD2AF7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 w:rsidR="00522EF0">
              <w:rPr>
                <w:rFonts w:eastAsia="Times New Roman"/>
                <w:color w:val="000000"/>
              </w:rPr>
              <w:t>15. 10</w:t>
            </w:r>
            <w:r w:rsidR="000D1C8D">
              <w:rPr>
                <w:rFonts w:eastAsia="Times New Roman"/>
                <w:color w:val="000000"/>
              </w:rPr>
              <w:t>. 2025</w:t>
            </w:r>
            <w:r w:rsidR="005B1109" w:rsidRPr="00BD2AF7">
              <w:rPr>
                <w:rFonts w:eastAsia="Times New Roman"/>
                <w:color w:val="000000"/>
              </w:rPr>
              <w:t>,</w:t>
            </w:r>
            <w:r w:rsidR="001B2403" w:rsidRPr="00BD2AF7">
              <w:rPr>
                <w:rFonts w:eastAsia="Times New Roman"/>
                <w:color w:val="000000"/>
              </w:rPr>
              <w:t xml:space="preserve"> </w:t>
            </w:r>
            <w:r w:rsidR="005B1109" w:rsidRPr="00BD2AF7">
              <w:rPr>
                <w:rFonts w:eastAsia="Times New Roman"/>
                <w:color w:val="000000"/>
              </w:rPr>
              <w:t>12:00 hod.</w:t>
            </w:r>
          </w:p>
        </w:tc>
      </w:tr>
      <w:tr w:rsidR="00753D29" w:rsidRPr="00BA701F" w14:paraId="663EC79D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C8DCB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zahájení příjmu žádostí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973D" w14:textId="52963B11" w:rsidR="00753D29" w:rsidRPr="00BD2AF7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D2AF7">
              <w:rPr>
                <w:rFonts w:eastAsia="Times New Roman"/>
                <w:color w:val="000000"/>
              </w:rPr>
              <w:t> </w:t>
            </w:r>
            <w:r w:rsidR="00522EF0">
              <w:rPr>
                <w:rFonts w:eastAsia="Times New Roman"/>
                <w:color w:val="000000"/>
              </w:rPr>
              <w:t>15. 10</w:t>
            </w:r>
            <w:r w:rsidR="000D1C8D">
              <w:rPr>
                <w:rFonts w:eastAsia="Times New Roman"/>
                <w:color w:val="000000"/>
              </w:rPr>
              <w:t>. 2025</w:t>
            </w:r>
            <w:r w:rsidR="005B1109" w:rsidRPr="00BD2AF7">
              <w:rPr>
                <w:rFonts w:eastAsia="Times New Roman"/>
                <w:color w:val="000000"/>
              </w:rPr>
              <w:t>, 12:00 hod.</w:t>
            </w:r>
          </w:p>
        </w:tc>
      </w:tr>
      <w:tr w:rsidR="00753D29" w:rsidRPr="00BA701F" w14:paraId="4CC6C98F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7CC4AE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Datum a čas ukončení příjmu žádostí o podporu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73D" w14:textId="3415FA23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22EF0">
              <w:rPr>
                <w:rFonts w:eastAsia="Times New Roman"/>
                <w:color w:val="000000"/>
              </w:rPr>
              <w:t>1. 12</w:t>
            </w:r>
            <w:r w:rsidR="000D1C8D">
              <w:rPr>
                <w:rFonts w:eastAsia="Times New Roman"/>
                <w:color w:val="000000"/>
              </w:rPr>
              <w:t>. 2025</w:t>
            </w:r>
            <w:r w:rsidR="005B1109">
              <w:rPr>
                <w:rFonts w:eastAsia="Times New Roman"/>
                <w:color w:val="000000"/>
              </w:rPr>
              <w:t>, 12:00 hod.</w:t>
            </w:r>
          </w:p>
        </w:tc>
      </w:tr>
      <w:tr w:rsidR="00753D29" w:rsidRPr="00BA701F" w14:paraId="6A781569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F4A18" w14:textId="242D5CE8" w:rsidR="00753D29" w:rsidRPr="00BA701F" w:rsidRDefault="00AF71E4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Počáteční</w:t>
            </w:r>
            <w:r w:rsidR="004B1271">
              <w:rPr>
                <w:rFonts w:eastAsia="Times New Roman"/>
                <w:b/>
                <w:bCs/>
                <w:color w:val="000000"/>
              </w:rPr>
              <w:t xml:space="preserve"> 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zahájení realizace projektu</w:t>
            </w:r>
            <w:r>
              <w:rPr>
                <w:rFonts w:eastAsia="Times New Roman"/>
                <w:b/>
                <w:bCs/>
                <w:color w:val="000000"/>
              </w:rPr>
              <w:t xml:space="preserve"> - nejdříve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37B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1. 1. 2021</w:t>
            </w:r>
          </w:p>
        </w:tc>
      </w:tr>
      <w:tr w:rsidR="00753D29" w:rsidRPr="00BA701F" w14:paraId="1EAC09AA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A4FC0" w14:textId="24FBAF94" w:rsidR="00753D29" w:rsidRPr="00BA701F" w:rsidRDefault="004B1271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="00753D29" w:rsidRPr="00BA701F">
              <w:rPr>
                <w:rFonts w:eastAsia="Times New Roman"/>
                <w:b/>
                <w:bCs/>
                <w:color w:val="000000"/>
              </w:rPr>
              <w:t>atum ukončení realizace projektu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5F0" w14:textId="52A58C3D" w:rsidR="005C2C7A" w:rsidRDefault="00C1373B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30. 6. 2029</w:t>
            </w:r>
            <w:r w:rsidR="005C2C7A">
              <w:rPr>
                <w:rFonts w:eastAsia="Times New Roman"/>
                <w:color w:val="000000"/>
              </w:rPr>
              <w:t xml:space="preserve"> </w:t>
            </w:r>
          </w:p>
          <w:p w14:paraId="21323871" w14:textId="6C967F03" w:rsidR="007234CE" w:rsidRPr="00BA701F" w:rsidRDefault="00231A4D" w:rsidP="00C57C28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Realizace projektu nesmí být formálně ani fyzicky ukončena před podáním žádosti o podporu v MS2021+.</w:t>
            </w:r>
          </w:p>
        </w:tc>
      </w:tr>
      <w:tr w:rsidR="00FC7B39" w:rsidRPr="00BA701F" w14:paraId="0EE5D90A" w14:textId="77777777" w:rsidTr="002E37E6">
        <w:trPr>
          <w:trHeight w:val="521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28C2BC" w14:textId="111CC12C" w:rsidR="00FC7B39" w:rsidRDefault="00FC7B3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Nejzazší</w:t>
            </w:r>
            <w:r w:rsidRPr="00BA701F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d</w:t>
            </w:r>
            <w:r w:rsidRPr="00BA701F">
              <w:rPr>
                <w:rFonts w:eastAsia="Times New Roman"/>
                <w:b/>
                <w:bCs/>
                <w:color w:val="000000"/>
              </w:rPr>
              <w:t>atum</w:t>
            </w:r>
            <w:r>
              <w:rPr>
                <w:rFonts w:eastAsia="Times New Roman"/>
                <w:b/>
                <w:bCs/>
                <w:color w:val="000000"/>
              </w:rPr>
              <w:t xml:space="preserve"> pro podání projektu přes MS 2021+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3A034" w14:textId="6BC129D0" w:rsidR="00FC7B39" w:rsidRPr="00BA701F" w:rsidRDefault="00522EF0" w:rsidP="002E37E6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  <w:r w:rsidR="00DC522E"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t>6</w:t>
            </w:r>
            <w:r w:rsidR="00DC522E">
              <w:rPr>
                <w:rFonts w:eastAsia="Times New Roman"/>
                <w:color w:val="000000"/>
              </w:rPr>
              <w:t xml:space="preserve">. </w:t>
            </w:r>
            <w:r>
              <w:rPr>
                <w:rFonts w:eastAsia="Times New Roman"/>
                <w:color w:val="000000"/>
              </w:rPr>
              <w:t>2026</w:t>
            </w:r>
          </w:p>
        </w:tc>
      </w:tr>
      <w:tr w:rsidR="00753D29" w:rsidRPr="00BA701F" w14:paraId="36BEE132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849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79C8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0692D4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21899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Podpora</w:t>
            </w:r>
          </w:p>
        </w:tc>
      </w:tr>
      <w:tr w:rsidR="00753D29" w:rsidRPr="00BA701F" w14:paraId="0C133D3B" w14:textId="77777777" w:rsidTr="005B1109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BA26A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</w:rPr>
            </w:pPr>
            <w:r w:rsidRPr="00BA701F">
              <w:rPr>
                <w:rFonts w:eastAsia="Times New Roman"/>
                <w:b/>
                <w:bCs/>
              </w:rPr>
              <w:t>Alokace výzvy MAS (CZV)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765B" w14:textId="709FD2F4" w:rsidR="00753D29" w:rsidRPr="00BA701F" w:rsidRDefault="00CD5EC4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7 780 392,89</w:t>
            </w:r>
            <w:r w:rsidR="000D1C8D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 xml:space="preserve"> </w:t>
            </w:r>
            <w:r w:rsidR="003C2606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>Kč</w:t>
            </w:r>
          </w:p>
        </w:tc>
      </w:tr>
      <w:tr w:rsidR="00753D29" w:rsidRPr="00BA701F" w14:paraId="4B17A1CC" w14:textId="77777777" w:rsidTr="005B1109">
        <w:trPr>
          <w:trHeight w:val="52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0AE70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 xml:space="preserve">Míra podpory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CC2" w14:textId="1425EC66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95 % z</w:t>
            </w:r>
            <w:r w:rsidR="005D795B">
              <w:rPr>
                <w:rFonts w:eastAsia="Times New Roman"/>
                <w:color w:val="000000"/>
              </w:rPr>
              <w:t> </w:t>
            </w:r>
            <w:r w:rsidR="005B1109">
              <w:rPr>
                <w:rFonts w:eastAsia="Times New Roman"/>
                <w:color w:val="000000"/>
              </w:rPr>
              <w:t>CZV</w:t>
            </w:r>
            <w:r w:rsidR="005D795B">
              <w:rPr>
                <w:rFonts w:eastAsia="Times New Roman"/>
                <w:color w:val="000000"/>
              </w:rPr>
              <w:t xml:space="preserve"> (</w:t>
            </w:r>
            <w:r w:rsidR="009E1C8F">
              <w:rPr>
                <w:rFonts w:eastAsia="Times New Roman"/>
                <w:color w:val="000000"/>
              </w:rPr>
              <w:t>EFRR 95</w:t>
            </w:r>
            <w:r w:rsidR="005D795B" w:rsidRPr="005D795B">
              <w:rPr>
                <w:rFonts w:eastAsia="Times New Roman"/>
                <w:color w:val="000000"/>
              </w:rPr>
              <w:t xml:space="preserve"> %, SR 15 %</w:t>
            </w:r>
            <w:r w:rsidR="005D795B">
              <w:rPr>
                <w:rFonts w:eastAsia="Times New Roman"/>
                <w:color w:val="000000"/>
              </w:rPr>
              <w:t>)</w:t>
            </w:r>
          </w:p>
        </w:tc>
      </w:tr>
      <w:tr w:rsidR="00753D29" w:rsidRPr="00BA701F" w14:paraId="30F68B8B" w14:textId="77777777" w:rsidTr="002A52B4">
        <w:trPr>
          <w:trHeight w:val="576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A6E859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Minimální výše celkových způsobilých výdajů projektu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84FB" w14:textId="58CAD05B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3C2606">
              <w:rPr>
                <w:rFonts w:eastAsia="Times New Roman"/>
                <w:color w:val="000000"/>
              </w:rPr>
              <w:t>23</w:t>
            </w:r>
            <w:r w:rsidR="005D795B">
              <w:rPr>
                <w:rFonts w:eastAsia="Times New Roman"/>
                <w:color w:val="000000"/>
              </w:rPr>
              <w:t>0 000 Kč</w:t>
            </w:r>
          </w:p>
        </w:tc>
      </w:tr>
      <w:tr w:rsidR="00753D29" w:rsidRPr="00BA701F" w14:paraId="5232649C" w14:textId="77777777" w:rsidTr="002A52B4">
        <w:trPr>
          <w:trHeight w:val="57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41EC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>Maximální výše celkových způsobilých výdajů projektu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701" w14:textId="26A29DED" w:rsidR="00753D29" w:rsidRPr="00BA701F" w:rsidRDefault="00753D29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CD5EC4">
              <w:rPr>
                <w:rFonts w:asciiTheme="minorHAnsi" w:eastAsia="Times New Roman" w:hAnsiTheme="minorHAnsi" w:cstheme="minorHAnsi"/>
                <w:bCs/>
                <w:kern w:val="36"/>
                <w:szCs w:val="20"/>
              </w:rPr>
              <w:t xml:space="preserve">7 780 392,89 </w:t>
            </w:r>
            <w:r w:rsidR="005D795B">
              <w:rPr>
                <w:rFonts w:eastAsia="Times New Roman"/>
                <w:color w:val="000000"/>
              </w:rPr>
              <w:t>Kč</w:t>
            </w:r>
          </w:p>
        </w:tc>
      </w:tr>
      <w:tr w:rsidR="00AF0E0A" w:rsidRPr="00BA701F" w14:paraId="33A237F7" w14:textId="77777777" w:rsidTr="005C2C7A">
        <w:trPr>
          <w:trHeight w:val="576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612B72" w14:textId="509103AF" w:rsidR="00AF0E0A" w:rsidRPr="00BA701F" w:rsidRDefault="00AF0E0A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Režim podpory a Maximální výše celkových způsobilých výdajů projektu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3A246" w14:textId="08914311" w:rsidR="00840483" w:rsidRDefault="00840483" w:rsidP="00AF0E0A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Žadatel má možnost výběru podpory v rámci dvou variant poskytnutí podpory:</w:t>
            </w:r>
          </w:p>
          <w:p w14:paraId="5F623C46" w14:textId="77777777" w:rsidR="00840483" w:rsidRPr="00840483" w:rsidRDefault="00840483" w:rsidP="008404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/>
              </w:rPr>
              <w:t></w:t>
            </w:r>
            <w:r>
              <w:rPr>
                <w:rFonts w:eastAsia="Times New Roman"/>
              </w:rPr>
              <w:t></w:t>
            </w:r>
            <w:r>
              <w:rPr>
                <w:rFonts w:eastAsia="Times New Roman"/>
              </w:rPr>
              <w:t></w:t>
            </w:r>
            <w:r w:rsidRPr="00840483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Projekty nezakládající veřejnou podporu ve smyslu čl. 107 odst. 1 Smlouvy o fungování Evropské unie</w:t>
            </w:r>
            <w:r w:rsidRPr="008404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47C6A7F6" w14:textId="20DCD192" w:rsidR="00840483" w:rsidRDefault="00840483" w:rsidP="00AF0E0A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2) Projekty u nichž nelze jednoznačně vyloučit přítomnost veřejné podpory (Režim de </w:t>
            </w:r>
            <w:proofErr w:type="spellStart"/>
            <w:r>
              <w:rPr>
                <w:rFonts w:eastAsia="Times New Roman"/>
                <w:color w:val="000000"/>
              </w:rPr>
              <w:t>minimis</w:t>
            </w:r>
            <w:proofErr w:type="spellEnd"/>
            <w:r>
              <w:rPr>
                <w:rFonts w:eastAsia="Times New Roman"/>
                <w:color w:val="000000"/>
              </w:rPr>
              <w:t xml:space="preserve">). </w:t>
            </w:r>
          </w:p>
          <w:p w14:paraId="453BDE69" w14:textId="1D376C19" w:rsidR="00AF0E0A" w:rsidRDefault="00AF0E0A" w:rsidP="00AF0E0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AF0E0A">
              <w:rPr>
                <w:rFonts w:eastAsia="Times New Roman"/>
                <w:color w:val="000000"/>
              </w:rPr>
              <w:t xml:space="preserve">Maximální výše </w:t>
            </w:r>
            <w:r>
              <w:rPr>
                <w:rFonts w:eastAsia="Times New Roman"/>
                <w:color w:val="000000"/>
              </w:rPr>
              <w:t xml:space="preserve">podpory u projektů s režimem de </w:t>
            </w:r>
            <w:proofErr w:type="spellStart"/>
            <w:r w:rsidRPr="00AF0E0A">
              <w:rPr>
                <w:rFonts w:eastAsia="Times New Roman"/>
                <w:color w:val="000000"/>
              </w:rPr>
              <w:t>minimis</w:t>
            </w:r>
            <w:proofErr w:type="spellEnd"/>
            <w:r w:rsidRPr="00AF0E0A">
              <w:rPr>
                <w:rFonts w:eastAsia="Times New Roman"/>
                <w:color w:val="000000"/>
              </w:rPr>
              <w:t xml:space="preserve">: do výše </w:t>
            </w:r>
            <w:r>
              <w:rPr>
                <w:rFonts w:eastAsia="Times New Roman"/>
                <w:color w:val="000000"/>
              </w:rPr>
              <w:t xml:space="preserve">nevyčerpaného limitu podpory de </w:t>
            </w:r>
            <w:proofErr w:type="spellStart"/>
            <w:r w:rsidRPr="00AF0E0A">
              <w:rPr>
                <w:rFonts w:eastAsia="Times New Roman"/>
                <w:color w:val="000000"/>
              </w:rPr>
              <w:t>minimis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  <w:p w14:paraId="6232D1D9" w14:textId="77777777" w:rsidR="00F942A9" w:rsidRPr="00F942A9" w:rsidRDefault="00F942A9" w:rsidP="00F942A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F942A9">
              <w:rPr>
                <w:rFonts w:eastAsia="Times New Roman"/>
                <w:color w:val="000000"/>
              </w:rPr>
              <w:t xml:space="preserve">Celková výše podpory de </w:t>
            </w:r>
            <w:proofErr w:type="spellStart"/>
            <w:r w:rsidRPr="00F942A9">
              <w:rPr>
                <w:rFonts w:eastAsia="Times New Roman"/>
                <w:color w:val="000000"/>
              </w:rPr>
              <w:t>minimis</w:t>
            </w:r>
            <w:proofErr w:type="spellEnd"/>
            <w:r w:rsidRPr="00F942A9">
              <w:rPr>
                <w:rFonts w:eastAsia="Times New Roman"/>
                <w:color w:val="000000"/>
              </w:rPr>
              <w:t xml:space="preserve"> poskytnutá jednomu</w:t>
            </w:r>
          </w:p>
          <w:p w14:paraId="52A954E3" w14:textId="77777777" w:rsidR="00F942A9" w:rsidRPr="00F942A9" w:rsidRDefault="00F942A9" w:rsidP="00F942A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F942A9">
              <w:rPr>
                <w:rFonts w:eastAsia="Times New Roman"/>
                <w:color w:val="000000"/>
              </w:rPr>
              <w:t>příjemci (ve smyslu jednoho podniku) nesmí v žádném</w:t>
            </w:r>
          </w:p>
          <w:p w14:paraId="723AA9D6" w14:textId="452A6740" w:rsidR="00F942A9" w:rsidRPr="00AF0E0A" w:rsidRDefault="00F942A9" w:rsidP="00F942A9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F942A9">
              <w:rPr>
                <w:rFonts w:eastAsia="Times New Roman"/>
                <w:color w:val="000000"/>
              </w:rPr>
              <w:t>tříletém období přesáhnout částku 300 000 EUR.</w:t>
            </w:r>
          </w:p>
          <w:p w14:paraId="30CC95F9" w14:textId="6824718F" w:rsidR="005911BE" w:rsidRPr="00BA701F" w:rsidRDefault="005911BE" w:rsidP="00AF0E0A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Výběr režimu podpory je blíže popsán v kapitole 7. Specifických pravidel pro žadatele a příjemce.</w:t>
            </w:r>
          </w:p>
        </w:tc>
      </w:tr>
      <w:tr w:rsidR="00753D29" w:rsidRPr="00BA701F" w14:paraId="7E8A61D8" w14:textId="77777777" w:rsidTr="005C2C7A">
        <w:trPr>
          <w:trHeight w:val="55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4A86F1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Forma podpory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653" w14:textId="77BED9F2" w:rsidR="00753D29" w:rsidRPr="00BA701F" w:rsidRDefault="005D795B" w:rsidP="005B1109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Ex post financování</w:t>
            </w:r>
          </w:p>
        </w:tc>
      </w:tr>
      <w:tr w:rsidR="00753D29" w:rsidRPr="00BA701F" w14:paraId="000802F0" w14:textId="77777777" w:rsidTr="005C2C7A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78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CE46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23BF54D4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56AC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Zacílení podpory</w:t>
            </w:r>
          </w:p>
        </w:tc>
      </w:tr>
      <w:tr w:rsidR="00753D29" w:rsidRPr="00BA701F" w14:paraId="424C28ED" w14:textId="77777777" w:rsidTr="00377A4D">
        <w:trPr>
          <w:trHeight w:val="288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61105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Typy podporovaných projektů</w:t>
            </w:r>
          </w:p>
        </w:tc>
        <w:tc>
          <w:tcPr>
            <w:tcW w:w="53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5935" w14:textId="77777777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Veřejná infrastruktura udržitelného cestovního ruchu (dále také „CR“):</w:t>
            </w:r>
          </w:p>
          <w:p w14:paraId="4615FDCE" w14:textId="3AC9ABC1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 xml:space="preserve">o budování a revitalizace doprovodné </w:t>
            </w:r>
            <w:r>
              <w:rPr>
                <w:rFonts w:eastAsia="Times New Roman"/>
                <w:color w:val="000000"/>
              </w:rPr>
              <w:t xml:space="preserve">infrastruktury cestovního ruchu </w:t>
            </w:r>
            <w:r w:rsidRPr="0067456A">
              <w:rPr>
                <w:rFonts w:eastAsia="Times New Roman"/>
                <w:color w:val="000000"/>
              </w:rPr>
              <w:t>(např. odpočívadla, sociální zařízení, fyzické prvky navigačních systémů);</w:t>
            </w:r>
          </w:p>
          <w:p w14:paraId="7EFA8948" w14:textId="2A2D2680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o budování páteřních, regionálních a lokálních turist</w:t>
            </w:r>
            <w:r>
              <w:rPr>
                <w:rFonts w:eastAsia="Times New Roman"/>
                <w:color w:val="000000"/>
              </w:rPr>
              <w:t xml:space="preserve">ických tras a revitalizace sítě </w:t>
            </w:r>
            <w:r w:rsidRPr="0067456A">
              <w:rPr>
                <w:rFonts w:eastAsia="Times New Roman"/>
                <w:color w:val="000000"/>
              </w:rPr>
              <w:t>značení;</w:t>
            </w:r>
          </w:p>
          <w:p w14:paraId="5AACB8B8" w14:textId="29196F5C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o propojená a otevřená IT řešení návštěvnickéh</w:t>
            </w:r>
            <w:r>
              <w:rPr>
                <w:rFonts w:eastAsia="Times New Roman"/>
                <w:color w:val="000000"/>
              </w:rPr>
              <w:t xml:space="preserve">o provozu a navigačních systémů </w:t>
            </w:r>
            <w:r w:rsidRPr="0067456A">
              <w:rPr>
                <w:rFonts w:eastAsia="Times New Roman"/>
                <w:color w:val="000000"/>
              </w:rPr>
              <w:t>měst a obcí;</w:t>
            </w:r>
          </w:p>
          <w:p w14:paraId="2F3746C8" w14:textId="77777777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o rekonstrukce stávajících a budování nových turistických informačních center;</w:t>
            </w:r>
          </w:p>
          <w:p w14:paraId="76A33B9F" w14:textId="77777777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o veřejná infrastruktura pro vodáckou a vodní turistiku / rekreační plavbu;</w:t>
            </w:r>
          </w:p>
          <w:p w14:paraId="6F334236" w14:textId="77777777" w:rsidR="0067456A" w:rsidRPr="0067456A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o parkoviště u atraktivit cestovního ruchu.</w:t>
            </w:r>
          </w:p>
          <w:p w14:paraId="414F2323" w14:textId="77777777" w:rsidR="008876A1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Dílčí aktivity (</w:t>
            </w:r>
            <w:proofErr w:type="spellStart"/>
            <w:r w:rsidRPr="0067456A">
              <w:rPr>
                <w:rFonts w:eastAsia="Times New Roman"/>
                <w:color w:val="000000"/>
              </w:rPr>
              <w:t>podaktivity</w:t>
            </w:r>
            <w:proofErr w:type="spellEnd"/>
            <w:r w:rsidRPr="0067456A">
              <w:rPr>
                <w:rFonts w:eastAsia="Times New Roman"/>
                <w:color w:val="000000"/>
              </w:rPr>
              <w:t>) mohou být v projektu libovolně kombinovány.</w:t>
            </w:r>
          </w:p>
          <w:p w14:paraId="55AF5491" w14:textId="73AB0780" w:rsidR="0067456A" w:rsidRPr="00BA701F" w:rsidRDefault="0067456A" w:rsidP="0067456A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67456A">
              <w:rPr>
                <w:rFonts w:eastAsia="Times New Roman"/>
                <w:color w:val="000000"/>
              </w:rPr>
              <w:t>Ve výzvě nebudou podporovány podnikatelské aktivity. Dá</w:t>
            </w:r>
            <w:r>
              <w:rPr>
                <w:rFonts w:eastAsia="Times New Roman"/>
                <w:color w:val="000000"/>
              </w:rPr>
              <w:t xml:space="preserve">le nebudou podporovány aktivity zaměřené na </w:t>
            </w:r>
            <w:r w:rsidRPr="0067456A">
              <w:rPr>
                <w:rFonts w:eastAsia="Times New Roman"/>
                <w:color w:val="000000"/>
              </w:rPr>
              <w:t>výstavbu, modernizaci a rekonstrukci rozhleden, lanovek, vleků, pláží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67456A">
              <w:rPr>
                <w:rFonts w:eastAsia="Times New Roman"/>
                <w:color w:val="000000"/>
              </w:rPr>
              <w:t>aquapa</w:t>
            </w:r>
            <w:r>
              <w:rPr>
                <w:rFonts w:eastAsia="Times New Roman"/>
                <w:color w:val="000000"/>
              </w:rPr>
              <w:t xml:space="preserve">rků, bazénů, umělých koupališť, </w:t>
            </w:r>
            <w:r w:rsidRPr="0067456A">
              <w:rPr>
                <w:rFonts w:eastAsia="Times New Roman"/>
                <w:color w:val="000000"/>
              </w:rPr>
              <w:t>biotopů, golfových h</w:t>
            </w:r>
            <w:r>
              <w:rPr>
                <w:rFonts w:eastAsia="Times New Roman"/>
                <w:color w:val="000000"/>
              </w:rPr>
              <w:t xml:space="preserve">řišť, skate parků, pump tracků, </w:t>
            </w:r>
            <w:r w:rsidRPr="0067456A">
              <w:rPr>
                <w:rFonts w:eastAsia="Times New Roman"/>
                <w:color w:val="000000"/>
              </w:rPr>
              <w:t>lanových cente</w:t>
            </w:r>
            <w:r>
              <w:rPr>
                <w:rFonts w:eastAsia="Times New Roman"/>
                <w:color w:val="000000"/>
              </w:rPr>
              <w:t xml:space="preserve">r, půjčoven sportovních potřeb, </w:t>
            </w:r>
            <w:r w:rsidRPr="0067456A">
              <w:rPr>
                <w:rFonts w:eastAsia="Times New Roman"/>
                <w:color w:val="000000"/>
              </w:rPr>
              <w:t>ubyto</w:t>
            </w:r>
            <w:r>
              <w:rPr>
                <w:rFonts w:eastAsia="Times New Roman"/>
                <w:color w:val="000000"/>
              </w:rPr>
              <w:t xml:space="preserve">vacích a stravovacích zařízení, </w:t>
            </w:r>
            <w:r w:rsidRPr="0067456A">
              <w:rPr>
                <w:rFonts w:eastAsia="Times New Roman"/>
                <w:color w:val="000000"/>
              </w:rPr>
              <w:t xml:space="preserve">parkovacích domů, </w:t>
            </w:r>
            <w:proofErr w:type="spellStart"/>
            <w:r w:rsidRPr="0067456A">
              <w:rPr>
                <w:rFonts w:eastAsia="Times New Roman"/>
                <w:color w:val="000000"/>
              </w:rPr>
              <w:t>cyklověží</w:t>
            </w:r>
            <w:proofErr w:type="spellEnd"/>
            <w:r w:rsidRPr="0067456A">
              <w:rPr>
                <w:rFonts w:eastAsia="Times New Roman"/>
                <w:color w:val="000000"/>
              </w:rPr>
              <w:t xml:space="preserve"> a nákup vozidel.</w:t>
            </w:r>
          </w:p>
        </w:tc>
      </w:tr>
      <w:tr w:rsidR="00753D29" w:rsidRPr="00BA701F" w14:paraId="4BE57295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D54D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D692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0810EF7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AC4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D3B8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3D88993F" w14:textId="77777777" w:rsidTr="00377A4D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DA64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252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2C3BDA9B" w14:textId="77777777" w:rsidTr="0067456A">
        <w:trPr>
          <w:trHeight w:val="450"/>
        </w:trPr>
        <w:tc>
          <w:tcPr>
            <w:tcW w:w="5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C953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3AEA" w14:textId="77777777" w:rsidR="00753D29" w:rsidRPr="00BA701F" w:rsidRDefault="00753D29" w:rsidP="00377A4D">
            <w:pPr>
              <w:spacing w:after="0"/>
              <w:jc w:val="center"/>
              <w:rPr>
                <w:rFonts w:eastAsia="Times New Roman"/>
                <w:color w:val="000000"/>
              </w:rPr>
            </w:pPr>
          </w:p>
        </w:tc>
      </w:tr>
      <w:tr w:rsidR="00753D29" w:rsidRPr="00BA701F" w14:paraId="4BD102DA" w14:textId="77777777" w:rsidTr="0067456A">
        <w:trPr>
          <w:trHeight w:val="3034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E3D9C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lastRenderedPageBreak/>
              <w:t xml:space="preserve">Území realizace 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E4038" w14:textId="77777777" w:rsidR="0041673B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41673B">
              <w:rPr>
                <w:rStyle w:val="markedcontent"/>
                <w:rFonts w:asciiTheme="minorHAnsi" w:hAnsiTheme="minorHAnsi" w:cstheme="minorHAnsi"/>
              </w:rPr>
              <w:t xml:space="preserve">Místo realizace se musí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nacházet na území MAS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vymezeném ve schválené strategii CLLD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– </w:t>
            </w:r>
            <w:hyperlink r:id="rId8" w:history="1">
              <w:r w:rsidRPr="0041673B">
                <w:rPr>
                  <w:rStyle w:val="Hypertextovodkaz"/>
                  <w:rFonts w:asciiTheme="minorHAnsi" w:hAnsiTheme="minorHAnsi" w:cstheme="minorHAnsi"/>
                </w:rPr>
                <w:t>Odkaz</w:t>
              </w:r>
            </w:hyperlink>
            <w:r>
              <w:rPr>
                <w:rStyle w:val="markedcontent"/>
                <w:rFonts w:asciiTheme="minorHAnsi" w:hAnsiTheme="minorHAnsi" w:cstheme="minorHAnsi"/>
              </w:rPr>
              <w:t>.</w:t>
            </w:r>
          </w:p>
          <w:p w14:paraId="3204139E" w14:textId="77777777" w:rsidR="00B71C3B" w:rsidRDefault="004167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41673B">
              <w:rPr>
                <w:rStyle w:val="markedcontent"/>
                <w:rFonts w:asciiTheme="minorHAnsi" w:hAnsiTheme="minorHAnsi" w:cstheme="minorHAnsi"/>
              </w:rPr>
              <w:t>Místem realizace se rozumí obec (město), kde probíhá / bude probíhat fyzická realizace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673B">
              <w:rPr>
                <w:rStyle w:val="markedcontent"/>
                <w:rFonts w:asciiTheme="minorHAnsi" w:hAnsiTheme="minorHAnsi" w:cstheme="minorHAnsi"/>
              </w:rPr>
              <w:t>projektu, kde vznikají / budou vznikat výstupy projektu.</w:t>
            </w:r>
          </w:p>
          <w:p w14:paraId="542C0D31" w14:textId="77777777" w:rsidR="005D546E" w:rsidRDefault="00B71C3B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B71C3B">
              <w:rPr>
                <w:rStyle w:val="markedcontent"/>
                <w:rFonts w:asciiTheme="minorHAnsi" w:hAnsiTheme="minorHAnsi" w:cstheme="minorHAnsi"/>
              </w:rPr>
              <w:t xml:space="preserve">Žadatel jako místo realizace uvede Katastrální území obce, na jejichž území bude realizována výstavba, rekonstrukce či pořízení prvků veřejné infrastruktury cestovního ruchu, která je předmětem projektu a parcelní číslo </w:t>
            </w:r>
            <w:r w:rsidR="007D775B">
              <w:rPr>
                <w:rStyle w:val="markedcontent"/>
                <w:rFonts w:asciiTheme="minorHAnsi" w:hAnsiTheme="minorHAnsi" w:cstheme="minorHAnsi"/>
              </w:rPr>
              <w:t xml:space="preserve">příslušné parcely, kde </w:t>
            </w:r>
            <w:r w:rsidR="007D775B" w:rsidRPr="007D775B">
              <w:rPr>
                <w:rStyle w:val="markedcontent"/>
                <w:rFonts w:asciiTheme="minorHAnsi" w:hAnsiTheme="minorHAnsi" w:cstheme="minorHAnsi"/>
              </w:rPr>
              <w:t>bude realizována výstavba, rekonstrukce či pořízení prvků veřejné infrastruktury cestovního ruchu</w:t>
            </w:r>
            <w:r w:rsidR="007D775B">
              <w:rPr>
                <w:rStyle w:val="markedcontent"/>
                <w:rFonts w:asciiTheme="minorHAnsi" w:hAnsiTheme="minorHAnsi" w:cstheme="minorHAnsi"/>
              </w:rPr>
              <w:t>.</w:t>
            </w:r>
            <w:r w:rsidR="0041673B" w:rsidRPr="007D775B">
              <w:rPr>
                <w:rStyle w:val="markedcontent"/>
              </w:rPr>
              <w:br/>
            </w:r>
            <w:r w:rsidR="0041673B" w:rsidRPr="0041673B">
              <w:rPr>
                <w:rStyle w:val="markedcontent"/>
                <w:rFonts w:asciiTheme="minorHAnsi" w:hAnsiTheme="minorHAnsi" w:cstheme="minorHAnsi"/>
              </w:rPr>
              <w:t>Za místo realizace se nepovažuje území dopadu, území, které má benefity z realizace dané</w:t>
            </w:r>
            <w:r w:rsidR="0041673B">
              <w:rPr>
                <w:rFonts w:asciiTheme="minorHAnsi" w:hAnsiTheme="minorHAnsi" w:cstheme="minorHAnsi"/>
              </w:rPr>
              <w:t xml:space="preserve"> </w:t>
            </w:r>
            <w:r w:rsidR="0041673B" w:rsidRPr="0041673B">
              <w:rPr>
                <w:rStyle w:val="markedcontent"/>
                <w:rFonts w:asciiTheme="minorHAnsi" w:hAnsiTheme="minorHAnsi" w:cstheme="minorHAnsi"/>
              </w:rPr>
              <w:t>intervence v daném místě realizace, ani spádové území či působnost dané instituce apod.</w:t>
            </w:r>
          </w:p>
          <w:p w14:paraId="720FB21C" w14:textId="053BA9F6" w:rsidR="00B71C3B" w:rsidRDefault="00DD3368" w:rsidP="0041673B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Jako povinnou přílohu k místům realizace žadatel doloží </w:t>
            </w:r>
            <w:r>
              <w:rPr>
                <w:rFonts w:eastAsia="Times New Roman"/>
                <w:color w:val="000000"/>
              </w:rPr>
              <w:t>zaznačení místa realizace v  mapě.</w:t>
            </w:r>
            <w:r w:rsidR="005D546E">
              <w:rPr>
                <w:rFonts w:eastAsia="Times New Roman"/>
                <w:color w:val="000000"/>
              </w:rPr>
              <w:t xml:space="preserve"> Z mapy musí být zřejmé - </w:t>
            </w:r>
            <w:r w:rsidR="005D546E" w:rsidRPr="005D546E">
              <w:rPr>
                <w:rFonts w:ascii="Arial" w:hAnsi="Arial" w:cs="Arial"/>
                <w:iCs/>
                <w:sz w:val="20"/>
              </w:rPr>
              <w:t>katastrální území obce, na jejichž území bude realizována výstavba, rekonstrukce či pořízení prvků veřejné infrastruktury cestovního ruchu, která je předmětem projektu a parcelní číslo příslušné parcely.</w:t>
            </w:r>
          </w:p>
          <w:p w14:paraId="1484F5A9" w14:textId="1AF037BD" w:rsidR="0041673B" w:rsidRPr="004263FE" w:rsidRDefault="0041673B" w:rsidP="0041673B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Územní působnost MAS: </w:t>
            </w:r>
            <w:hyperlink r:id="rId9" w:history="1">
              <w:r w:rsidRPr="0069367E">
                <w:rPr>
                  <w:rStyle w:val="Hypertextovodkaz"/>
                  <w:rFonts w:asciiTheme="minorHAnsi" w:hAnsiTheme="minorHAnsi" w:cstheme="minorHAnsi"/>
                </w:rPr>
                <w:t>https://www.kyjovske-slovacko.com/cs/mapy-uzemi</w:t>
              </w:r>
            </w:hyperlink>
          </w:p>
        </w:tc>
      </w:tr>
      <w:tr w:rsidR="00753D29" w:rsidRPr="00BA701F" w14:paraId="6A9E5DD3" w14:textId="77777777" w:rsidTr="00BA1720">
        <w:trPr>
          <w:trHeight w:val="69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7305A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Oprávnění žadatelé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20CD" w14:textId="6F41316A" w:rsidR="00BB32B1" w:rsidRPr="00BB32B1" w:rsidRDefault="00BB32B1" w:rsidP="00BB32B1">
            <w:p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>Oprávnění žadatele:</w:t>
            </w:r>
          </w:p>
          <w:p w14:paraId="7FB2599D" w14:textId="63995A03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obce </w:t>
            </w:r>
          </w:p>
          <w:p w14:paraId="7824E0F4" w14:textId="5B4F30A0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dobrovolné svazky obcí </w:t>
            </w:r>
          </w:p>
          <w:p w14:paraId="39D6F9D6" w14:textId="125DF5AF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kraje </w:t>
            </w:r>
          </w:p>
          <w:p w14:paraId="073B50B3" w14:textId="41892D6C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organizace zřizované nebo zakládané obcemi/kraji </w:t>
            </w:r>
          </w:p>
          <w:p w14:paraId="0993A139" w14:textId="0328D888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OSS </w:t>
            </w:r>
          </w:p>
          <w:p w14:paraId="7F9CB20A" w14:textId="2872F055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PO OSS </w:t>
            </w:r>
          </w:p>
          <w:p w14:paraId="39671B86" w14:textId="2A44FA97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NNO činné v oblasti cestovního ruchu minimálně 2 roky </w:t>
            </w:r>
          </w:p>
          <w:p w14:paraId="4397C11E" w14:textId="337BC5EA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církve </w:t>
            </w:r>
          </w:p>
          <w:p w14:paraId="2FD862C8" w14:textId="342BD69A" w:rsidR="006A4599" w:rsidRPr="006A459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církevní organizace </w:t>
            </w:r>
          </w:p>
          <w:p w14:paraId="3B626ED1" w14:textId="77777777" w:rsidR="00753D29" w:rsidRDefault="006A4599" w:rsidP="006A4599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6A4599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státní podnik </w:t>
            </w:r>
          </w:p>
          <w:p w14:paraId="0FD49D2C" w14:textId="57A1EC89" w:rsidR="007F45C5" w:rsidRPr="007F45C5" w:rsidRDefault="007F45C5" w:rsidP="007F45C5">
            <w:p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>
              <w:t>Žadatel či osoby ovládající právnickou osobu žadatele nesmí být evidováni na sankčním seznamu / rejstříku EU v kategorii finančních sankcí.</w:t>
            </w:r>
          </w:p>
        </w:tc>
      </w:tr>
      <w:tr w:rsidR="00753D29" w:rsidRPr="00BA701F" w14:paraId="73DE90AA" w14:textId="77777777" w:rsidTr="00377A4D">
        <w:trPr>
          <w:trHeight w:val="696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2545F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Cílová skupina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BAFDC" w14:textId="77777777" w:rsidR="00295FFC" w:rsidRPr="00295FFC" w:rsidRDefault="00295FFC" w:rsidP="00295FFC">
            <w:pPr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295FF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Obyvatelé a subjekty působící na území působnosti MAS a návštěvníci území působnosti MAS: </w:t>
            </w:r>
          </w:p>
          <w:p w14:paraId="62572179" w14:textId="329168C7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účastníci cestovního ruchu </w:t>
            </w:r>
          </w:p>
          <w:p w14:paraId="43ABFA5F" w14:textId="5C2F87AB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obyvatelé </w:t>
            </w:r>
          </w:p>
          <w:p w14:paraId="37B0D911" w14:textId="696C4586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odborná veřejnost </w:t>
            </w:r>
          </w:p>
          <w:p w14:paraId="168430C1" w14:textId="046CCBD8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podnikatelské subjekty </w:t>
            </w:r>
          </w:p>
          <w:p w14:paraId="684F0BD7" w14:textId="172A6FEF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uprchlíci, migranti </w:t>
            </w:r>
          </w:p>
          <w:p w14:paraId="3B862BFF" w14:textId="31182B85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národnostní skupiny (zejména Romové) </w:t>
            </w:r>
          </w:p>
          <w:p w14:paraId="255296E7" w14:textId="641C9929" w:rsidR="0073753C" w:rsidRPr="0073753C" w:rsidRDefault="0073753C" w:rsidP="0073753C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2"/>
              <w:jc w:val="left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73753C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osoby se zdravotním postižením </w:t>
            </w:r>
          </w:p>
          <w:p w14:paraId="21FCA1F9" w14:textId="6C73D769" w:rsidR="00753D29" w:rsidRPr="00BA701F" w:rsidRDefault="0073753C" w:rsidP="0073753C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3D29" w:rsidRPr="00BA701F" w14:paraId="1BD742DA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757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10F" w14:textId="77777777" w:rsidR="00753D29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EAAEED" w14:textId="77777777" w:rsidR="00F875C0" w:rsidRDefault="00F875C0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4986E1" w14:textId="77777777" w:rsidR="00F875C0" w:rsidRDefault="00F875C0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CC1890" w14:textId="4045869A" w:rsidR="00F875C0" w:rsidRPr="00BA701F" w:rsidRDefault="00F875C0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3E5DB89F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C664F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Věcné zaměření</w:t>
            </w:r>
          </w:p>
        </w:tc>
      </w:tr>
      <w:tr w:rsidR="00753D29" w:rsidRPr="00BA701F" w14:paraId="3D23ED36" w14:textId="77777777" w:rsidTr="00D7257E">
        <w:trPr>
          <w:trHeight w:val="1941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807006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Indikátory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BDD" w14:textId="6779C5FA" w:rsidR="00753D29" w:rsidRDefault="00AC1DC6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Informace k indikátorům jsou obsaženy v Obecných a Specifických pravidlech výzvy ŘO IROP. Konkrétní popis jednotliv</w:t>
            </w:r>
            <w:r w:rsidR="00513403">
              <w:rPr>
                <w:rFonts w:eastAsia="Times New Roman"/>
                <w:color w:val="000000"/>
              </w:rPr>
              <w:t>ých indikátorů je přílohou č. 1.</w:t>
            </w:r>
            <w:r>
              <w:rPr>
                <w:rFonts w:eastAsia="Times New Roman"/>
                <w:color w:val="000000"/>
              </w:rPr>
              <w:t xml:space="preserve"> Specifických pravidel pro žadatele a příjemce. </w:t>
            </w:r>
          </w:p>
          <w:p w14:paraId="4A0F0447" w14:textId="77777777" w:rsidR="00AC1DC6" w:rsidRPr="00BA701F" w:rsidRDefault="009D7659" w:rsidP="00D7257E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Žadatel je povinen vybrat relevantní indikátory pro realizovanou aktivitu.</w:t>
            </w:r>
          </w:p>
        </w:tc>
      </w:tr>
      <w:tr w:rsidR="004E1A59" w:rsidRPr="00BA701F" w14:paraId="0EBCAE95" w14:textId="77777777" w:rsidTr="00D7257E">
        <w:trPr>
          <w:trHeight w:val="3542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2588A31" w14:textId="3053A25D" w:rsidR="004E1A59" w:rsidRPr="00BA701F" w:rsidRDefault="00A241C2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Specifika Výzvy - pojmy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2573" w14:textId="77777777" w:rsidR="004D77F6" w:rsidRDefault="00A241C2" w:rsidP="004D77F6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843B1F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 kap. 3.3.1 Definice pojmů, ve Specifických pravidlech pro žadatele a příjemce, jsou uvedeny upřesňující definice podporovaných aktivit.</w:t>
            </w:r>
          </w:p>
          <w:p w14:paraId="7778DDC5" w14:textId="77777777" w:rsidR="00DB6492" w:rsidRPr="00DB6492" w:rsidRDefault="00DB6492" w:rsidP="00DB6492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DB649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K podrobnějšímu popisu podpořených dílčích aktivit a jejich specifik slouží kapitola 4.2.1 Přímé</w:t>
            </w:r>
          </w:p>
          <w:p w14:paraId="49BA64E0" w14:textId="72E0D523" w:rsidR="00DB6492" w:rsidRPr="00DB6492" w:rsidRDefault="00DB6492" w:rsidP="00DB6492">
            <w:pPr>
              <w:pStyle w:val="Default"/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</w:pPr>
            <w:r w:rsidRPr="00DB6492">
              <w:rPr>
                <w:rFonts w:ascii="Calibri" w:eastAsia="Times New Roman" w:hAnsi="Calibri" w:cs="Calibri"/>
                <w:sz w:val="22"/>
                <w:szCs w:val="22"/>
                <w:lang w:eastAsia="cs-CZ"/>
              </w:rPr>
              <w:t>výdaje projektu.</w:t>
            </w:r>
          </w:p>
        </w:tc>
      </w:tr>
      <w:tr w:rsidR="00753D29" w:rsidRPr="00BA701F" w14:paraId="1A9707CE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D28" w14:textId="77777777" w:rsidR="00753D29" w:rsidRPr="00BA701F" w:rsidRDefault="00753D29" w:rsidP="00106376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7785" w14:textId="77777777" w:rsidR="00753D29" w:rsidRPr="00BA701F" w:rsidRDefault="00753D29" w:rsidP="0010637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3D29" w:rsidRPr="00BA701F" w14:paraId="0BA03481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1F30" w14:textId="77777777" w:rsidR="00753D29" w:rsidRPr="00BA701F" w:rsidRDefault="00753D29" w:rsidP="00106376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Náležitosti žádosti o podporu</w:t>
            </w:r>
          </w:p>
        </w:tc>
      </w:tr>
      <w:tr w:rsidR="00275959" w:rsidRPr="00BA701F" w14:paraId="376F753C" w14:textId="77777777" w:rsidTr="00A05B13">
        <w:trPr>
          <w:trHeight w:val="288"/>
        </w:trPr>
        <w:tc>
          <w:tcPr>
            <w:tcW w:w="53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F7F5" w14:textId="228BB5F6" w:rsidR="00275959" w:rsidRPr="00BA701F" w:rsidRDefault="0027595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Povinné přílohy žádosti o dotaci</w:t>
            </w:r>
            <w:r>
              <w:rPr>
                <w:rFonts w:eastAsia="Times New Roman"/>
                <w:b/>
                <w:bCs/>
                <w:color w:val="000000"/>
              </w:rPr>
              <w:t xml:space="preserve"> (projektového záměru)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233B" w14:textId="5905F61C" w:rsidR="00275959" w:rsidRPr="009D7659" w:rsidRDefault="00275959" w:rsidP="00C71BE8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Plná moc - </w:t>
            </w:r>
            <w:r>
              <w:rPr>
                <w:rStyle w:val="markedcontent"/>
                <w:rFonts w:asciiTheme="minorHAnsi" w:hAnsiTheme="minorHAnsi" w:cstheme="minorHAnsi"/>
              </w:rPr>
              <w:t>d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okládá se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pouze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 v případě přenesení pravomocí 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statutárního zástupce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žadatele na jinou</w:t>
            </w:r>
            <w:r w:rsidRPr="009D7659"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osobu. Plná moc/pověření musí obsahovat, kdo je kým pověřen, co je předmětem pověření,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dobu účinnosti a datum zánik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u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>pověření. V případě obcí/krajů může být plná moc nahrazena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D7659">
              <w:rPr>
                <w:rStyle w:val="markedcontent"/>
                <w:rFonts w:asciiTheme="minorHAnsi" w:hAnsiTheme="minorHAnsi" w:cstheme="minorHAnsi"/>
              </w:rPr>
              <w:t xml:space="preserve">usnesením zastupitelstva/rady. </w:t>
            </w:r>
          </w:p>
        </w:tc>
      </w:tr>
      <w:tr w:rsidR="00275959" w:rsidRPr="00BA701F" w14:paraId="6915280B" w14:textId="77777777" w:rsidTr="00A05B13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0BA" w14:textId="77777777" w:rsidR="00275959" w:rsidRPr="00BA701F" w:rsidRDefault="0027595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A8EB" w14:textId="5AB9CED6" w:rsidR="00275959" w:rsidRPr="00BA701F" w:rsidRDefault="00275959" w:rsidP="00AD6C85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Čestné prohlášení žadatele k schopnosti doložit přílohy vyžadované ŘO IROP (viz vzor) v období mezi Vydáním souladu projektového záměru se SCLLD 21-27 a podáním projektu v systému MS2021+.</w:t>
            </w:r>
          </w:p>
        </w:tc>
      </w:tr>
      <w:tr w:rsidR="00275959" w:rsidRPr="00BA701F" w14:paraId="3BD0F1E1" w14:textId="77777777" w:rsidTr="009805B5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24AE" w14:textId="77777777" w:rsidR="00275959" w:rsidRPr="00BA701F" w:rsidRDefault="0027595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1CA0" w14:textId="5F143F33" w:rsidR="00275959" w:rsidRPr="00F75564" w:rsidRDefault="00275959" w:rsidP="00106376">
            <w:pPr>
              <w:spacing w:after="0"/>
              <w:jc w:val="left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7A2B23">
              <w:rPr>
                <w:rFonts w:eastAsia="Times New Roman"/>
                <w:color w:val="000000"/>
              </w:rPr>
              <w:t>. Položkový rozpočet projektu</w:t>
            </w:r>
            <w:r>
              <w:rPr>
                <w:rFonts w:eastAsia="Times New Roman"/>
                <w:color w:val="000000"/>
              </w:rPr>
              <w:t xml:space="preserve"> (součástí je také tabulka k ověření limitů)</w:t>
            </w:r>
          </w:p>
        </w:tc>
      </w:tr>
      <w:tr w:rsidR="00275959" w:rsidRPr="00BA701F" w14:paraId="15BBD2EF" w14:textId="77777777" w:rsidTr="00267333">
        <w:trPr>
          <w:trHeight w:val="288"/>
        </w:trPr>
        <w:tc>
          <w:tcPr>
            <w:tcW w:w="5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2DC8" w14:textId="77777777" w:rsidR="00275959" w:rsidRPr="00BA701F" w:rsidRDefault="00275959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1C5D" w14:textId="7BCDF21D" w:rsidR="00275959" w:rsidRDefault="00275959" w:rsidP="00745529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4. </w:t>
            </w:r>
            <w:r w:rsidR="00BA63AA" w:rsidRPr="00234769">
              <w:rPr>
                <w:rFonts w:asciiTheme="minorHAnsi" w:eastAsia="Times New Roman" w:hAnsiTheme="minorHAnsi" w:cstheme="minorHAnsi"/>
                <w:color w:val="000000"/>
              </w:rPr>
              <w:t>Zaznačení místa realizace v </w:t>
            </w:r>
            <w:r w:rsidR="00745529">
              <w:rPr>
                <w:rFonts w:asciiTheme="minorHAnsi" w:eastAsia="Times New Roman" w:hAnsiTheme="minorHAnsi" w:cstheme="minorHAnsi"/>
                <w:color w:val="000000"/>
              </w:rPr>
              <w:t xml:space="preserve"> mapě – musí být zřejmé </w:t>
            </w:r>
            <w:r w:rsidR="00BA63AA" w:rsidRPr="00745529">
              <w:rPr>
                <w:rFonts w:asciiTheme="minorHAnsi" w:eastAsia="Times New Roman" w:hAnsiTheme="minorHAnsi" w:cstheme="minorHAnsi"/>
                <w:color w:val="000000"/>
              </w:rPr>
              <w:t>katastrální území obce, na jejichž území bude realizována výstavba, rekonstrukce či pořízení prvků veřejné infrastruktury cestovního ruchu, která je předmětem projektu a parcelní číslo příslušné parcely</w:t>
            </w:r>
          </w:p>
        </w:tc>
      </w:tr>
      <w:tr w:rsidR="00244C75" w:rsidRPr="00BA701F" w14:paraId="7148588D" w14:textId="77777777" w:rsidTr="00267333">
        <w:trPr>
          <w:trHeight w:val="288"/>
        </w:trPr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427" w14:textId="5BA134F6" w:rsidR="00244C75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F37C45">
              <w:rPr>
                <w:rFonts w:eastAsia="Times New Roman"/>
                <w:b/>
                <w:bCs/>
                <w:color w:val="000000"/>
              </w:rPr>
              <w:t xml:space="preserve">Nepovinné přílohy žádosti o dotaci (projektového záměru) – </w:t>
            </w:r>
            <w:r w:rsidRPr="00F37C45">
              <w:rPr>
                <w:rFonts w:eastAsia="Times New Roman"/>
                <w:bCs/>
                <w:color w:val="000000"/>
              </w:rPr>
              <w:t xml:space="preserve">přílohy pro </w:t>
            </w:r>
            <w:r w:rsidRPr="00F37C45">
              <w:rPr>
                <w:rFonts w:eastAsia="Times New Roman"/>
                <w:color w:val="000000"/>
              </w:rPr>
              <w:t xml:space="preserve">vyhodnocení Kritérií </w:t>
            </w:r>
            <w:r w:rsidRPr="00F37C45">
              <w:t>pro posouzení věcné fáze procesu souladu projektového záměru se SCLLD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3EF7" w14:textId="23FAD77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Doklad prokazující povolení k realizaci stavby dle stavebního zákona</w:t>
            </w:r>
          </w:p>
        </w:tc>
      </w:tr>
      <w:tr w:rsidR="00244C75" w:rsidRPr="00BA701F" w14:paraId="1A81E55E" w14:textId="77777777" w:rsidTr="00267333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31C0" w14:textId="7CA8325E" w:rsidR="00244C75" w:rsidRPr="00BA701F" w:rsidRDefault="00244C75" w:rsidP="00106376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CD1" w14:textId="7D74AEE6" w:rsidR="00244C75" w:rsidRPr="004147E4" w:rsidRDefault="004147E4" w:rsidP="00106376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2. </w:t>
            </w:r>
            <w:r w:rsidR="00244C75" w:rsidRPr="004147E4">
              <w:rPr>
                <w:rStyle w:val="markedcontent"/>
                <w:rFonts w:asciiTheme="minorHAnsi" w:hAnsiTheme="minorHAnsi" w:cstheme="minorHAnsi"/>
              </w:rPr>
              <w:t>Čestné prohlášení žadatele, že k realizaci projektu není třeba doklad prokazující povolení k realizaci stavby dle stavebního zákona</w:t>
            </w:r>
          </w:p>
        </w:tc>
      </w:tr>
      <w:tr w:rsidR="004E6444" w:rsidRPr="00BA701F" w14:paraId="6A83FEF4" w14:textId="77777777" w:rsidTr="00267333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FFCC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9F4DF" w14:textId="02B0150B" w:rsidR="004E6444" w:rsidRPr="004147E4" w:rsidRDefault="00BA63AA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3. </w:t>
            </w:r>
            <w:r w:rsidRPr="004147E4">
              <w:rPr>
                <w:rStyle w:val="markedcontent"/>
                <w:rFonts w:asciiTheme="minorHAnsi" w:hAnsiTheme="minorHAnsi" w:cstheme="minorHAnsi"/>
              </w:rPr>
              <w:t>Dohoda o spolupráci</w:t>
            </w:r>
          </w:p>
        </w:tc>
      </w:tr>
    </w:tbl>
    <w:p w14:paraId="511D78F7" w14:textId="77777777" w:rsidR="00267333" w:rsidRDefault="00267333">
      <w:r>
        <w:br w:type="page"/>
      </w:r>
    </w:p>
    <w:tbl>
      <w:tblPr>
        <w:tblW w:w="10774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376"/>
      </w:tblGrid>
      <w:tr w:rsidR="004E6444" w:rsidRPr="00BA701F" w14:paraId="2DEC72EB" w14:textId="77777777" w:rsidTr="00106376">
        <w:trPr>
          <w:trHeight w:val="300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078F" w14:textId="510BEA04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  <w:p w14:paraId="5CA74732" w14:textId="2804F03C" w:rsidR="00267333" w:rsidRPr="00BA701F" w:rsidRDefault="00267333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20C2" w14:textId="77777777" w:rsidR="004E6444" w:rsidRPr="00BA701F" w:rsidRDefault="004E6444" w:rsidP="004E644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444" w:rsidRPr="00BA701F" w14:paraId="46574C89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015CF0" w14:textId="77777777" w:rsidR="004E6444" w:rsidRPr="00BA701F" w:rsidRDefault="004E6444" w:rsidP="004E6444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Způsobilé výdaje</w:t>
            </w:r>
          </w:p>
        </w:tc>
      </w:tr>
      <w:tr w:rsidR="004E6444" w:rsidRPr="00BA701F" w14:paraId="5962B21E" w14:textId="77777777" w:rsidTr="00106376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00C72" w14:textId="77777777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Věcná způsobilost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1BD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Způsobilost výdajů se řídí Obecnými a Specifickými pravidly výzvy ŘO IROP.</w:t>
            </w:r>
          </w:p>
          <w:p w14:paraId="2908BEB6" w14:textId="3C5A7F55" w:rsidR="004E6444" w:rsidRPr="00AC1DC6" w:rsidRDefault="004E6444" w:rsidP="004E6444">
            <w:pPr>
              <w:spacing w:after="0"/>
              <w:jc w:val="left"/>
              <w:rPr>
                <w:rStyle w:val="markedcontent"/>
                <w:rFonts w:asciiTheme="minorHAnsi" w:hAnsiTheme="minorHAnsi" w:cstheme="minorHAnsi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>Způsobilé výdaje se dělí na:</w:t>
            </w:r>
            <w:r w:rsidRPr="002E34AE">
              <w:rPr>
                <w:rFonts w:asciiTheme="minorHAnsi" w:hAnsiTheme="minorHAnsi" w:cstheme="minorHAnsi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přímé výdaje, které musí být doloženy daňovými,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účetními či dalšími doklady dle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kapitoly </w:t>
            </w:r>
            <w:r w:rsidR="00DB6492">
              <w:rPr>
                <w:rStyle w:val="markedcontent"/>
                <w:rFonts w:asciiTheme="minorHAnsi" w:hAnsiTheme="minorHAnsi" w:cstheme="minorHAnsi"/>
              </w:rPr>
              <w:t>4.</w:t>
            </w:r>
            <w:r w:rsidR="00C12F51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Specifických pravidel</w:t>
            </w:r>
            <w:r>
              <w:rPr>
                <w:rStyle w:val="markedcontent"/>
                <w:rFonts w:asciiTheme="minorHAnsi" w:hAnsiTheme="minorHAnsi" w:cstheme="minorHAnsi"/>
              </w:rPr>
              <w:t xml:space="preserve"> pro žadatele a příjemce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 xml:space="preserve"> a na jejichž základě dojde k</w:t>
            </w:r>
            <w:r>
              <w:rPr>
                <w:rStyle w:val="markedcontent"/>
                <w:rFonts w:asciiTheme="minorHAnsi" w:hAnsiTheme="minorHAnsi" w:cstheme="minorHAnsi"/>
              </w:rPr>
              <w:t> 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výpočtu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paušálních nákladů,</w:t>
            </w:r>
            <w:r w:rsidRPr="002E34AE">
              <w:rPr>
                <w:rStyle w:val="markedcontent"/>
              </w:rPr>
              <w:br/>
            </w:r>
            <w:r w:rsidRPr="002E34AE">
              <w:rPr>
                <w:rStyle w:val="markedcontent"/>
                <w:rFonts w:asciiTheme="minorHAnsi" w:hAnsiTheme="minorHAnsi" w:cstheme="minorHAnsi"/>
              </w:rPr>
              <w:sym w:font="Symbol" w:char="F0B7"/>
            </w:r>
            <w:r w:rsidRPr="00AC1DC6">
              <w:rPr>
                <w:rStyle w:val="markedcontent"/>
                <w:rFonts w:asciiTheme="minorHAnsi" w:hAnsiTheme="minorHAnsi" w:cstheme="minorHAnsi"/>
              </w:rPr>
              <w:t xml:space="preserve"> nepřímé, paušální náklady, jejichž výše je stanovena za pomoci paušální sazby</w:t>
            </w:r>
            <w:r w:rsidRPr="002E34AE">
              <w:rPr>
                <w:rStyle w:val="markedcontent"/>
              </w:rPr>
              <w:t xml:space="preserve"> </w:t>
            </w:r>
            <w:r w:rsidRPr="00AC1DC6">
              <w:rPr>
                <w:rStyle w:val="markedcontent"/>
                <w:rFonts w:asciiTheme="minorHAnsi" w:hAnsiTheme="minorHAnsi" w:cstheme="minorHAnsi"/>
              </w:rPr>
              <w:t>a které není potřeba prokazovat daňovými, účetními či dalšími doklady. Při financování projektu bude využita paušální sazba ve výši 7 % na paušální náklady.</w:t>
            </w:r>
          </w:p>
          <w:p w14:paraId="4F8917CB" w14:textId="77777777" w:rsidR="004E6444" w:rsidRPr="002E34AE" w:rsidRDefault="004E6444" w:rsidP="004E6444">
            <w:pPr>
              <w:spacing w:after="0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2E34AE">
              <w:rPr>
                <w:rStyle w:val="markedcontent"/>
                <w:rFonts w:asciiTheme="minorHAnsi" w:hAnsiTheme="minorHAnsi" w:cstheme="minorHAnsi"/>
              </w:rPr>
              <w:t>Náklady, na</w:t>
            </w:r>
            <w:r w:rsidRPr="002E34AE">
              <w:rPr>
                <w:rStyle w:val="markedcontent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jejichž financování je použita paušální sazba, nelze zahrnout mezi přímé výdaje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E34AE">
              <w:rPr>
                <w:rStyle w:val="markedcontent"/>
                <w:rFonts w:asciiTheme="minorHAnsi" w:hAnsiTheme="minorHAnsi" w:cstheme="minorHAnsi"/>
              </w:rPr>
              <w:t>projektu.</w:t>
            </w:r>
          </w:p>
        </w:tc>
      </w:tr>
      <w:tr w:rsidR="004E6444" w:rsidRPr="00BA701F" w14:paraId="09F2DDFB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80DE7" w14:textId="77777777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Časová způsobilost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B10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Je dána obdobím od data zahájení realizace projektu po datum ukončení realizace projektu. </w:t>
            </w:r>
            <w:r w:rsidRPr="00055872">
              <w:rPr>
                <w:rFonts w:eastAsia="Times New Roman"/>
                <w:color w:val="000000"/>
              </w:rPr>
              <w:t>Datem zahájení realizace projektu se rozumí datum prvního právního úkonu týkajícího se aktivit projektu, na které jsou vynaloženy způsobilé výdaje.</w:t>
            </w:r>
          </w:p>
        </w:tc>
      </w:tr>
      <w:tr w:rsidR="004E6444" w:rsidRPr="00BA701F" w14:paraId="69A0E4C2" w14:textId="77777777" w:rsidTr="00627227">
        <w:trPr>
          <w:trHeight w:val="1027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0C32B1" w14:textId="4FFBFB89" w:rsidR="004E6444" w:rsidRPr="00BA701F" w:rsidRDefault="004E6444" w:rsidP="004E6444">
            <w:pPr>
              <w:spacing w:after="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Finanční limity Výzvy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AB115" w14:textId="77777777" w:rsidR="004E6444" w:rsidRPr="004A6CC8" w:rsidRDefault="004A6CC8" w:rsidP="004A6CC8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eastAsia="Times New Roman"/>
                <w:b/>
                <w:color w:val="000000"/>
              </w:rPr>
            </w:pPr>
            <w:r>
              <w:t>paušální sazba ve výši 7 % na paušální náklady</w:t>
            </w:r>
          </w:p>
          <w:p w14:paraId="5B01A842" w14:textId="58A7CDDA" w:rsidR="004A6CC8" w:rsidRPr="004A6CC8" w:rsidRDefault="004A6CC8" w:rsidP="004A6CC8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eastAsia="Times New Roman"/>
                <w:b/>
                <w:color w:val="000000"/>
              </w:rPr>
            </w:pPr>
            <w:r>
              <w:t>pořizovací cena pozemků může být započtena maximálně do výše 10 % celkových způsobilých výdajů na projekt</w:t>
            </w:r>
            <w:r w:rsidR="00247460">
              <w:t>. V případě nemovitostí dříve používaných k jiným účelům, které zahrnují budovy, se tento limit zvýší na 15 %.</w:t>
            </w:r>
          </w:p>
        </w:tc>
      </w:tr>
      <w:tr w:rsidR="004E6444" w:rsidRPr="00BA701F" w14:paraId="7FD43B09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F81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EFFA" w14:textId="77777777" w:rsidR="004E6444" w:rsidRPr="00BA701F" w:rsidRDefault="004E6444" w:rsidP="004E6444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444" w:rsidRPr="00BA701F" w14:paraId="1FA33F66" w14:textId="77777777" w:rsidTr="00106376">
        <w:trPr>
          <w:trHeight w:val="31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9B3CC" w14:textId="77777777" w:rsidR="004E6444" w:rsidRPr="00BA701F" w:rsidRDefault="004E6444" w:rsidP="004E6444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A701F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Další detaily výzvy</w:t>
            </w:r>
          </w:p>
        </w:tc>
      </w:tr>
      <w:tr w:rsidR="004E6444" w:rsidRPr="00BA701F" w14:paraId="6B5DC6D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3FEED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Způsob hodnocení projektů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FE3" w14:textId="63156E09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hodnocení projektů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5 viz odkaz níže. </w:t>
            </w:r>
          </w:p>
        </w:tc>
      </w:tr>
      <w:tr w:rsidR="004E6444" w:rsidRPr="00BA701F" w14:paraId="24AC2795" w14:textId="77777777" w:rsidTr="00DB6492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21E38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Kritéria pro hodnocení projektů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B96F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Kritéria pro hodnocení projektů jsou přílohou této výzvy. Kritéria jsou stanovena pro administrativní i věcnou fázi posouzení souladu. Tvorbu kritérií upravují podrobně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3 viz odkaz níže.</w:t>
            </w:r>
          </w:p>
          <w:p w14:paraId="716E0469" w14:textId="0EC9C878" w:rsidR="00BF26A4" w:rsidRPr="00BA701F" w:rsidRDefault="00BF26A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MAS si vyhrazuje právo vyžádat si  ke dni ukončení realizace projektu dokumenty prokazující naplnění preferenčních kritérií věcné fáze procesu souladu projektového záměru se SCLLD.</w:t>
            </w:r>
          </w:p>
        </w:tc>
      </w:tr>
      <w:tr w:rsidR="004E6444" w:rsidRPr="00BA701F" w14:paraId="58F0119C" w14:textId="77777777" w:rsidTr="00EC7015">
        <w:trPr>
          <w:trHeight w:val="2133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2F101C" w14:textId="3E3F791A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lastRenderedPageBreak/>
              <w:t xml:space="preserve">Lhůta platnosti </w:t>
            </w:r>
            <w:r w:rsidRPr="006B5A7B">
              <w:rPr>
                <w:rFonts w:eastAsia="Times New Roman"/>
                <w:b/>
                <w:bCs/>
                <w:color w:val="000000"/>
              </w:rPr>
              <w:t>Vyjádření MAS o souladu/nesouladu projektového záměru/náhradního projektového záměru se SCLLD 21-27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D529" w14:textId="77777777" w:rsidR="008A2D4E" w:rsidRDefault="004E6444" w:rsidP="006B7EF3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Lhůta platnosti </w:t>
            </w:r>
            <w:r w:rsidRPr="001949C6">
              <w:rPr>
                <w:rFonts w:eastAsia="Times New Roman"/>
                <w:color w:val="000000"/>
              </w:rPr>
              <w:t xml:space="preserve">Vyjádření MAS o souladu/nesouladu projektového záměru se SCLLD 21-27 </w:t>
            </w:r>
            <w:r w:rsidRPr="000F6E92">
              <w:rPr>
                <w:rFonts w:eastAsia="Times New Roman"/>
                <w:color w:val="000000"/>
              </w:rPr>
              <w:t xml:space="preserve">je stanovena </w:t>
            </w:r>
            <w:proofErr w:type="gramStart"/>
            <w:r w:rsidRPr="000F6E92">
              <w:rPr>
                <w:rFonts w:eastAsia="Times New Roman"/>
                <w:color w:val="000000"/>
              </w:rPr>
              <w:t>na</w:t>
            </w:r>
            <w:proofErr w:type="gramEnd"/>
          </w:p>
          <w:p w14:paraId="2A6BE3F6" w14:textId="3E6ED5A4" w:rsidR="004E6444" w:rsidRDefault="008A2D4E" w:rsidP="006B7EF3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30. 6. 2026</w:t>
            </w:r>
            <w:r w:rsidR="004E6444">
              <w:rPr>
                <w:rFonts w:eastAsia="Times New Roman"/>
                <w:color w:val="000000"/>
              </w:rPr>
              <w:t>.</w:t>
            </w:r>
          </w:p>
          <w:p w14:paraId="44CBAAF6" w14:textId="6DC668EB" w:rsidR="006B7EF3" w:rsidRDefault="004E6444" w:rsidP="006B7EF3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Konkrétní datum bude uvedeno na dokumentu </w:t>
            </w:r>
            <w:r w:rsidRPr="001949C6">
              <w:rPr>
                <w:rFonts w:eastAsia="Times New Roman"/>
                <w:color w:val="000000"/>
              </w:rPr>
              <w:t>Vyjádření MAS o</w:t>
            </w:r>
            <w:r>
              <w:rPr>
                <w:rFonts w:eastAsia="Times New Roman"/>
                <w:color w:val="000000"/>
              </w:rPr>
              <w:t xml:space="preserve"> souladu/nesouladu projektového </w:t>
            </w:r>
            <w:r w:rsidRPr="001949C6">
              <w:rPr>
                <w:rFonts w:eastAsia="Times New Roman"/>
                <w:color w:val="000000"/>
              </w:rPr>
              <w:t>záměru se SCLLD 21-27</w:t>
            </w:r>
            <w:r>
              <w:rPr>
                <w:rFonts w:eastAsia="Times New Roman"/>
                <w:color w:val="000000"/>
              </w:rPr>
              <w:t>.</w:t>
            </w:r>
          </w:p>
          <w:p w14:paraId="7889C8FA" w14:textId="6FF582F2" w:rsidR="004E6444" w:rsidRDefault="004E6444" w:rsidP="006B7EF3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7039FBC9" w14:textId="77777777" w:rsidTr="00EC7015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4B6918" w14:textId="6D41EE33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383C8B">
              <w:rPr>
                <w:rFonts w:eastAsia="Times New Roman"/>
                <w:b/>
                <w:bCs/>
                <w:color w:val="000000"/>
              </w:rPr>
              <w:t>Postup vybraných projektů k podpoře po vydání souladu projektového záměru se SCLLD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D733" w14:textId="53FAAC79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Postupy vybraných projektů k podpoře po vydání souladu projektového záměru se SCLLD upravují Interní postupy 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 kapitole č. 7.</w:t>
            </w:r>
          </w:p>
          <w:p w14:paraId="2F0BBC0D" w14:textId="3D43326D" w:rsidR="004E6444" w:rsidRDefault="004E6444" w:rsidP="00C91AED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>Po kompletním zadání projektu do systému MS2021+, včetně všech příloh, požádá žadatel kancelář MAS o kontrolu shodnosti projektového záměru a projektu zadaného v MS2021+. O kontrolu je nutné požádat nejpozději 15 pracovních dní před vypršením platnosti Vyjádření MAS o souladu/nesouladu projektového záměru se SCLLD 21-27, pokud je tato lhůta stanovena. Na základě individuální žádosti je možné stanovenou lhůtu posunout.</w:t>
            </w:r>
          </w:p>
        </w:tc>
      </w:tr>
      <w:tr w:rsidR="004E6444" w:rsidRPr="00BA701F" w14:paraId="0A8920B2" w14:textId="77777777" w:rsidTr="00EC7015">
        <w:trPr>
          <w:trHeight w:val="288"/>
        </w:trPr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BDA85D" w14:textId="48A77B1D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55615B">
              <w:rPr>
                <w:rFonts w:eastAsia="Times New Roman"/>
                <w:b/>
                <w:bCs/>
                <w:color w:val="000000"/>
              </w:rPr>
              <w:t>Povinnosti hlášení změn projektů na MAS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ECD2" w14:textId="3AC5A0C7" w:rsidR="004E6444" w:rsidRPr="0055615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</w:t>
            </w:r>
            <w:r w:rsidRPr="0055615B">
              <w:rPr>
                <w:rFonts w:eastAsia="Times New Roman"/>
                <w:color w:val="000000"/>
              </w:rPr>
              <w:t xml:space="preserve">ovinnosti hlášení změn projektů na </w:t>
            </w:r>
            <w:proofErr w:type="gramStart"/>
            <w:r w:rsidRPr="0055615B">
              <w:rPr>
                <w:rFonts w:eastAsia="Times New Roman"/>
                <w:color w:val="000000"/>
              </w:rPr>
              <w:t>MAS</w:t>
            </w:r>
            <w:proofErr w:type="gramEnd"/>
            <w:r>
              <w:rPr>
                <w:rFonts w:eastAsia="Times New Roman"/>
                <w:color w:val="000000"/>
              </w:rPr>
              <w:t xml:space="preserve"> upravují Interní postupy  Kyjovského Slovácka v pohybu, z.s. IROP 2021 – 2027 v kapitole</w:t>
            </w:r>
            <w:r w:rsidRPr="0055615B">
              <w:rPr>
                <w:rFonts w:eastAsia="Times New Roman"/>
                <w:color w:val="000000"/>
              </w:rPr>
              <w:t xml:space="preserve"> č. 8</w:t>
            </w:r>
            <w:r w:rsidR="00250B7F">
              <w:rPr>
                <w:rFonts w:eastAsia="Times New Roman"/>
                <w:color w:val="000000"/>
              </w:rPr>
              <w:t>.</w:t>
            </w:r>
          </w:p>
          <w:p w14:paraId="64F0F237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7356E18B" w14:textId="77777777" w:rsidTr="00890448">
        <w:trPr>
          <w:trHeight w:val="1033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74748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Další specifika výzvy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3A2" w14:textId="0C311A4F" w:rsidR="004E6444" w:rsidRPr="006005AD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Specifika výzvy MAS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viz odkaz níže. </w:t>
            </w:r>
          </w:p>
          <w:p w14:paraId="283DAC91" w14:textId="790ED9C5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Jedná se především o postupy:</w:t>
            </w:r>
          </w:p>
          <w:p w14:paraId="49C55479" w14:textId="39A0174D" w:rsidR="004E6444" w:rsidRPr="00221188" w:rsidRDefault="004E6444" w:rsidP="004E6444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možnosti změny výzvy – kapitola č. 2</w:t>
            </w:r>
          </w:p>
          <w:p w14:paraId="13856800" w14:textId="221BEFCC" w:rsidR="004E6444" w:rsidRDefault="004E6444" w:rsidP="004E6444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vymezující náhradní projekty a možnosti jejich podpory – kapitola č. 5</w:t>
            </w:r>
          </w:p>
          <w:p w14:paraId="66EB06C8" w14:textId="6B5FB285" w:rsidR="004E6444" w:rsidRDefault="004E6444" w:rsidP="004E6444">
            <w:pPr>
              <w:pStyle w:val="Odstavecseseznamem"/>
              <w:numPr>
                <w:ilvl w:val="0"/>
                <w:numId w:val="10"/>
              </w:num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možnost podat žádost o přezkum hodnocení či stížnost – kapitola č. 6</w:t>
            </w:r>
          </w:p>
          <w:p w14:paraId="5FC5A664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Výzvě MAS je nadřazena Výzva ŘO IROP a dokumenty s ní související. </w:t>
            </w:r>
          </w:p>
          <w:p w14:paraId="29F6924A" w14:textId="384C3CCF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091824D4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78855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Forma a způsob podání žádosti o podporu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97C2" w14:textId="43FA9F5D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Způsob podání projektového záměru upravují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 v kapitole č. 4. </w:t>
            </w:r>
          </w:p>
          <w:p w14:paraId="47763AC8" w14:textId="77777777" w:rsidR="004E6444" w:rsidRDefault="004E6444" w:rsidP="004E6444">
            <w:r>
              <w:t>Způsob podávání projektového záměru do vyhlášené výzvy MAS bude probíhat</w:t>
            </w:r>
            <w:r w:rsidRPr="00E9351B">
              <w:t xml:space="preserve"> elektronickou formou</w:t>
            </w:r>
            <w:r>
              <w:t xml:space="preserve">. Součástí vyhlášené výzvy MAS je vzor projektového formuláře, který musí žadatel vyplnit. Žadatel projektový formulář vyplní, </w:t>
            </w:r>
            <w:r w:rsidRPr="00E9351B">
              <w:t>uloží ve formátu PDF a elektronicky podepíše nebo vytiskne a podepíše</w:t>
            </w:r>
            <w:r w:rsidRPr="00670FB7">
              <w:t>. Rovněž</w:t>
            </w:r>
            <w:r>
              <w:t xml:space="preserve"> obdobným způsobem připraví veškeré potřebné přílohy projektového záměru. Přílohy není nutné podepisovat. </w:t>
            </w:r>
          </w:p>
          <w:p w14:paraId="585688D5" w14:textId="77777777" w:rsidR="004E6444" w:rsidRDefault="004E6444" w:rsidP="004E6444">
            <w:r>
              <w:t>Kompletně připravený projektový záměr následně žadatel</w:t>
            </w:r>
            <w:r w:rsidRPr="006533AA">
              <w:t xml:space="preserve"> odešle na e-mailovou adresu </w:t>
            </w:r>
            <w:hyperlink r:id="rId10" w:history="1">
              <w:r w:rsidRPr="00032370">
                <w:rPr>
                  <w:rStyle w:val="Hypertextovodkaz"/>
                </w:rPr>
                <w:t>irop@kyjovske-slovacko.com</w:t>
              </w:r>
            </w:hyperlink>
            <w:r>
              <w:t xml:space="preserve"> a současně také </w:t>
            </w:r>
            <w:r w:rsidRPr="00DB2D95">
              <w:t>datovou schránkou do datové schránky MAS</w:t>
            </w:r>
            <w:r>
              <w:t>. Zaslání oběma způsoby je nezbytné z důvodu zajištění časového údaje pro přijetí žádosti a archivace komunikace MAS s žadatelem.</w:t>
            </w:r>
          </w:p>
          <w:p w14:paraId="0CD60205" w14:textId="0ACC48CC" w:rsidR="004E6444" w:rsidRPr="00670FB7" w:rsidRDefault="004E6444" w:rsidP="004E6444">
            <w:r>
              <w:t xml:space="preserve">Projektové záměry, které budou doručeny později, než je stanoveno výzvou, budou automaticky vyřazeny z procesu posouzení souladu projektových záměrů se SCLLD 21-27. Za doručení projektového </w:t>
            </w:r>
            <w:r w:rsidRPr="008F5C7F">
              <w:t>záměru je považován datum a čas dodání uveřejněný na příchozí zprávě z datové schránky.</w:t>
            </w:r>
          </w:p>
        </w:tc>
      </w:tr>
      <w:tr w:rsidR="004E6444" w:rsidRPr="00BA701F" w14:paraId="4B2A4F27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99687" w14:textId="07B21DEF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Interní postupy MAS</w:t>
            </w:r>
            <w:r>
              <w:rPr>
                <w:rFonts w:eastAsia="Times New Roman"/>
                <w:b/>
                <w:bCs/>
                <w:color w:val="000000"/>
              </w:rPr>
              <w:t xml:space="preserve"> a Výzvu MAS 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779" w14:textId="77777777" w:rsidR="00233CCB" w:rsidRDefault="00353AD5" w:rsidP="00FC5DEB">
            <w:pPr>
              <w:spacing w:after="0"/>
              <w:jc w:val="left"/>
            </w:pPr>
            <w:r w:rsidRPr="00353AD5">
              <w:t xml:space="preserve">https://www.kyjovske-slovacko.com/cs/informace/8-vyzva-irop-21-cestovni-ruch </w:t>
            </w:r>
          </w:p>
          <w:p w14:paraId="6820BE1D" w14:textId="72877D0C" w:rsidR="00353AD5" w:rsidRPr="00BA701F" w:rsidRDefault="00353AD5" w:rsidP="00FC5DEB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3E69C5E8" w14:textId="77777777" w:rsidTr="00106376">
        <w:trPr>
          <w:trHeight w:val="684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B653C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Obecná a Specifická pravidla výzvy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6F02" w14:textId="77777777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Obecná pravidla:</w:t>
            </w:r>
          </w:p>
          <w:p w14:paraId="613F9EBC" w14:textId="113D6384" w:rsidR="00353AD5" w:rsidRDefault="00353AD5" w:rsidP="004E6444">
            <w:pPr>
              <w:spacing w:after="0"/>
              <w:jc w:val="left"/>
            </w:pPr>
            <w:hyperlink r:id="rId11" w:history="1">
              <w:r w:rsidRPr="00B84472">
                <w:rPr>
                  <w:rStyle w:val="Hypertextovodkaz"/>
                </w:rPr>
                <w:t>https://irop.gov.cz/getmedia/b7e00933-49ab-4d5e-8f05-fa856f96553c/Obecna-pravidla-2021-2027_verze-4.pdf.aspx?ext=.pdf</w:t>
              </w:r>
            </w:hyperlink>
          </w:p>
          <w:p w14:paraId="7723692C" w14:textId="77777777" w:rsidR="00353AD5" w:rsidRDefault="00353AD5" w:rsidP="004E6444">
            <w:pPr>
              <w:spacing w:after="0"/>
              <w:jc w:val="left"/>
            </w:pPr>
          </w:p>
          <w:p w14:paraId="157AB540" w14:textId="6BF5F82F" w:rsidR="004E6444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Specifická pravidla:</w:t>
            </w:r>
          </w:p>
          <w:p w14:paraId="46110F8C" w14:textId="7AA5A636" w:rsidR="00FC5DEB" w:rsidRDefault="00353AD5" w:rsidP="00C91AED">
            <w:pPr>
              <w:spacing w:after="0"/>
              <w:jc w:val="left"/>
              <w:rPr>
                <w:rFonts w:eastAsia="Times New Roman"/>
                <w:color w:val="000000"/>
              </w:rPr>
            </w:pPr>
            <w:hyperlink r:id="rId12" w:history="1">
              <w:r w:rsidRPr="00B84472">
                <w:rPr>
                  <w:rStyle w:val="Hypertextovodkaz"/>
                  <w:rFonts w:eastAsia="Times New Roman"/>
                </w:rPr>
                <w:t>https://irop.gov.cz/getmedia/628209b2-da8b-4177-908b-578f58d8cc01/Specificka_pravidla_86v_Cestovni-ruch_v3_25032025.pdf.aspx?ext=.pdf</w:t>
              </w:r>
            </w:hyperlink>
          </w:p>
          <w:p w14:paraId="4344B893" w14:textId="1FA9899D" w:rsidR="00C91AED" w:rsidRPr="00BA701F" w:rsidRDefault="00C91AED" w:rsidP="00C91AED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1520696B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A1B56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Odkaz na nadřazenou Výzvu ŘO IROP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F4F" w14:textId="02A9223B" w:rsidR="00FC5DEB" w:rsidRDefault="00353AD5" w:rsidP="00FC5DEB">
            <w:pPr>
              <w:spacing w:after="0"/>
              <w:jc w:val="left"/>
            </w:pPr>
            <w:hyperlink r:id="rId13" w:history="1">
              <w:r w:rsidR="00C91AED" w:rsidRPr="00F574FF">
                <w:rPr>
                  <w:rStyle w:val="Hypertextovodkaz"/>
                </w:rPr>
                <w:t>https://irop.gov.cz/cs/vyzvy-2021-2027/vyzvy/86vyzvairop</w:t>
              </w:r>
            </w:hyperlink>
          </w:p>
          <w:p w14:paraId="6A713C3A" w14:textId="105B6C40" w:rsidR="00C91AED" w:rsidRPr="00BA701F" w:rsidRDefault="00C91AED" w:rsidP="00FC5DEB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4061583C" w14:textId="77777777" w:rsidTr="00106376">
        <w:trPr>
          <w:trHeight w:val="288"/>
        </w:trPr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FA60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Kontakty pro poskytování informací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926" w14:textId="5E2BF404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 xml:space="preserve">Kontaktní údaje na pracovníky Kyjovského Slovácka v </w:t>
            </w:r>
            <w:proofErr w:type="gramStart"/>
            <w:r w:rsidRPr="00DC2E4B">
              <w:rPr>
                <w:rFonts w:eastAsia="Times New Roman"/>
                <w:color w:val="000000"/>
              </w:rPr>
              <w:t>pohybu, z.s.</w:t>
            </w:r>
            <w:proofErr w:type="gramEnd"/>
            <w:r w:rsidRPr="00DC2E4B">
              <w:rPr>
                <w:rFonts w:eastAsia="Times New Roman"/>
                <w:color w:val="000000"/>
              </w:rPr>
              <w:t>:</w:t>
            </w:r>
          </w:p>
          <w:p w14:paraId="14464384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Ing. Tomáš Kolařík</w:t>
            </w:r>
          </w:p>
          <w:p w14:paraId="6698D92C" w14:textId="6667B7D4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775 766 469</w:t>
            </w:r>
          </w:p>
          <w:p w14:paraId="10D04BFF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tomaskolarik@kyjovske-slovacko.com</w:t>
            </w:r>
          </w:p>
          <w:p w14:paraId="3BB2233B" w14:textId="588E6BBC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Hana Horňáková</w:t>
            </w:r>
          </w:p>
          <w:p w14:paraId="3BFE72C3" w14:textId="1D3B2E6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mobil</w:t>
            </w:r>
            <w:r w:rsidRPr="00DC2E4B">
              <w:rPr>
                <w:rFonts w:eastAsia="Times New Roman"/>
                <w:color w:val="000000"/>
              </w:rPr>
              <w:t>: 774 664 668</w:t>
            </w:r>
          </w:p>
          <w:p w14:paraId="2B8584FF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e-mail: hanahornakova@kyjovske-slovacko.com</w:t>
            </w:r>
          </w:p>
          <w:p w14:paraId="79F67CB5" w14:textId="77777777" w:rsidR="004E6444" w:rsidRPr="00DC2E4B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DC2E4B">
              <w:rPr>
                <w:rFonts w:eastAsia="Times New Roman"/>
                <w:color w:val="000000"/>
              </w:rPr>
              <w:t>Poskytují informace při zpracování žádosti o podporu a posouzení jejího souladu s výzvou MAS.</w:t>
            </w:r>
          </w:p>
          <w:p w14:paraId="1C9DA44A" w14:textId="0F94BC3C" w:rsidR="004E6444" w:rsidRDefault="00353AD5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hyperlink r:id="rId14" w:history="1">
              <w:r w:rsidR="004E6444" w:rsidRPr="0069367E">
                <w:rPr>
                  <w:rStyle w:val="Hypertextovodkaz"/>
                  <w:rFonts w:eastAsia="Times New Roman"/>
                </w:rPr>
                <w:t>https://www.kyjovske-slovacko.com/cs/kontakty</w:t>
              </w:r>
            </w:hyperlink>
          </w:p>
          <w:p w14:paraId="1729F9D0" w14:textId="026FF884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</w:p>
        </w:tc>
      </w:tr>
      <w:tr w:rsidR="004E6444" w:rsidRPr="00BA701F" w14:paraId="16AB3B3A" w14:textId="77777777" w:rsidTr="00106376">
        <w:trPr>
          <w:trHeight w:val="288"/>
        </w:trPr>
        <w:tc>
          <w:tcPr>
            <w:tcW w:w="5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2CE0F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BA701F">
              <w:rPr>
                <w:rFonts w:eastAsia="Times New Roman"/>
                <w:b/>
                <w:bCs/>
                <w:color w:val="000000"/>
              </w:rPr>
              <w:t>Seznam příloh výzvy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149A" w14:textId="29EDA7CE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Formulář projektového záměru</w:t>
            </w:r>
          </w:p>
        </w:tc>
      </w:tr>
      <w:tr w:rsidR="004E6444" w:rsidRPr="00BA701F" w14:paraId="1AA4B614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ED66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6EA" w14:textId="2968F025" w:rsidR="004E6444" w:rsidRPr="00802765" w:rsidRDefault="00275959" w:rsidP="004E6444">
            <w:r>
              <w:rPr>
                <w:rFonts w:eastAsia="Times New Roman"/>
                <w:color w:val="000000"/>
              </w:rPr>
              <w:t xml:space="preserve">2. </w:t>
            </w:r>
            <w:bookmarkStart w:id="0" w:name="_GoBack"/>
            <w:bookmarkEnd w:id="0"/>
            <w:r w:rsidR="004E6444">
              <w:rPr>
                <w:rFonts w:eastAsia="Times New Roman"/>
                <w:color w:val="000000"/>
              </w:rPr>
              <w:t xml:space="preserve">Kritéria </w:t>
            </w:r>
            <w:r w:rsidR="004E6444">
              <w:t xml:space="preserve">pro posouzení </w:t>
            </w:r>
            <w:r w:rsidR="004E6444" w:rsidRPr="00AA469E">
              <w:t>administrativní</w:t>
            </w:r>
            <w:r w:rsidR="004E6444" w:rsidRPr="00BC614C">
              <w:t xml:space="preserve"> </w:t>
            </w:r>
            <w:r w:rsidR="004E6444">
              <w:t>fáze procesu souladu</w:t>
            </w:r>
            <w:r w:rsidR="004E6444" w:rsidRPr="0047196C">
              <w:t xml:space="preserve"> </w:t>
            </w:r>
            <w:r w:rsidR="004E6444" w:rsidRPr="000C3A74">
              <w:t>projektového záměru se SCLLD</w:t>
            </w:r>
          </w:p>
        </w:tc>
      </w:tr>
      <w:tr w:rsidR="004E6444" w:rsidRPr="00BA701F" w14:paraId="18A1C857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D34A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64D" w14:textId="68D2657A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>
              <w:t xml:space="preserve">3. Kritéria pro posouzení věcné fáze procesu souladu </w:t>
            </w:r>
            <w:r w:rsidRPr="000C3A74">
              <w:t>projektového záměru se SCLLD</w:t>
            </w:r>
          </w:p>
        </w:tc>
      </w:tr>
      <w:tr w:rsidR="004E6444" w:rsidRPr="00BA701F" w14:paraId="46D69FB9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635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65C" w14:textId="2D92D553" w:rsidR="004E6444" w:rsidRPr="00BA701F" w:rsidRDefault="004E6444" w:rsidP="00C91AED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 xml:space="preserve">4. </w:t>
            </w:r>
            <w:r w:rsidRPr="000C3A74">
              <w:t>Vyjádření MAS o souladu/nesouladu projektového záměru se SCLLD 21-27</w:t>
            </w:r>
          </w:p>
        </w:tc>
      </w:tr>
      <w:tr w:rsidR="004E6444" w:rsidRPr="00BA701F" w14:paraId="349BE10B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500E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661" w14:textId="4D1DD359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>
              <w:rPr>
                <w:rFonts w:eastAsia="Times New Roman"/>
                <w:color w:val="000000"/>
              </w:rPr>
              <w:t>5. Interní postupy Kyjovského Slovácka v </w:t>
            </w:r>
            <w:proofErr w:type="gramStart"/>
            <w:r>
              <w:rPr>
                <w:rFonts w:eastAsia="Times New Roman"/>
                <w:color w:val="000000"/>
              </w:rPr>
              <w:t>pohybu, z.s.</w:t>
            </w:r>
            <w:proofErr w:type="gramEnd"/>
            <w:r>
              <w:rPr>
                <w:rFonts w:eastAsia="Times New Roman"/>
                <w:color w:val="000000"/>
              </w:rPr>
              <w:t xml:space="preserve"> IROP 2021 – 2027</w:t>
            </w:r>
          </w:p>
        </w:tc>
      </w:tr>
      <w:tr w:rsidR="004E6444" w:rsidRPr="00BA701F" w14:paraId="1341859A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99D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14F9" w14:textId="0948EC94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  <w:r w:rsidR="00275959">
              <w:rPr>
                <w:rFonts w:eastAsia="Times New Roman"/>
                <w:color w:val="000000"/>
              </w:rPr>
              <w:t xml:space="preserve">6. </w:t>
            </w:r>
            <w:r w:rsidR="00275959" w:rsidRPr="00275959">
              <w:rPr>
                <w:rFonts w:eastAsia="Times New Roman"/>
                <w:color w:val="000000"/>
              </w:rPr>
              <w:t>Záměry MAS k rozvoji cestovního ruchu v území MAS</w:t>
            </w:r>
          </w:p>
        </w:tc>
      </w:tr>
      <w:tr w:rsidR="004E6444" w:rsidRPr="00BA701F" w14:paraId="4EF93225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30F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68C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4E6444" w:rsidRPr="00BA701F" w14:paraId="1C3DC9EB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9281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34BA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4E6444" w:rsidRPr="00BA701F" w14:paraId="453ED8FC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A13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3C3D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  <w:tr w:rsidR="004E6444" w:rsidRPr="00BA701F" w14:paraId="4FD5D627" w14:textId="77777777" w:rsidTr="00106376">
        <w:trPr>
          <w:trHeight w:val="288"/>
        </w:trPr>
        <w:tc>
          <w:tcPr>
            <w:tcW w:w="5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19CF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101" w14:textId="77777777" w:rsidR="004E6444" w:rsidRPr="00BA701F" w:rsidRDefault="004E6444" w:rsidP="004E6444">
            <w:pPr>
              <w:spacing w:after="0"/>
              <w:jc w:val="left"/>
              <w:rPr>
                <w:rFonts w:eastAsia="Times New Roman"/>
                <w:color w:val="000000"/>
              </w:rPr>
            </w:pPr>
            <w:r w:rsidRPr="00BA701F">
              <w:rPr>
                <w:rFonts w:eastAsia="Times New Roman"/>
                <w:color w:val="000000"/>
              </w:rPr>
              <w:t> </w:t>
            </w:r>
          </w:p>
        </w:tc>
      </w:tr>
    </w:tbl>
    <w:p w14:paraId="70B93C4A" w14:textId="46C644AD" w:rsidR="00A96558" w:rsidRDefault="00A96558" w:rsidP="00A96558">
      <w:pPr>
        <w:spacing w:after="160" w:line="259" w:lineRule="auto"/>
        <w:jc w:val="left"/>
        <w:rPr>
          <w:rFonts w:ascii="Arial" w:eastAsia="Arial" w:hAnsi="Arial" w:cs="Arial"/>
          <w:b/>
          <w:u w:val="single"/>
        </w:rPr>
      </w:pPr>
    </w:p>
    <w:p w14:paraId="4FC24436" w14:textId="77777777" w:rsidR="00A96558" w:rsidRPr="00A96558" w:rsidRDefault="00A96558" w:rsidP="00A96558">
      <w:pPr>
        <w:rPr>
          <w:rFonts w:ascii="Arial" w:eastAsia="Arial" w:hAnsi="Arial" w:cs="Arial"/>
        </w:rPr>
      </w:pPr>
    </w:p>
    <w:sectPr w:rsidR="00A96558" w:rsidRPr="00A96558" w:rsidSect="00A3692C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39A7" w14:textId="77777777" w:rsidR="00A3692C" w:rsidRDefault="00A3692C" w:rsidP="00A3692C">
      <w:pPr>
        <w:spacing w:after="0"/>
      </w:pPr>
      <w:r>
        <w:separator/>
      </w:r>
    </w:p>
  </w:endnote>
  <w:endnote w:type="continuationSeparator" w:id="0">
    <w:p w14:paraId="2D88B80B" w14:textId="77777777" w:rsidR="00A3692C" w:rsidRDefault="00A3692C" w:rsidP="00A36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D4530" w14:textId="77777777" w:rsidR="00A3692C" w:rsidRDefault="00A3692C" w:rsidP="00A3692C">
      <w:pPr>
        <w:spacing w:after="0"/>
      </w:pPr>
      <w:r>
        <w:separator/>
      </w:r>
    </w:p>
  </w:footnote>
  <w:footnote w:type="continuationSeparator" w:id="0">
    <w:p w14:paraId="77C0C29B" w14:textId="77777777" w:rsidR="00A3692C" w:rsidRDefault="00A3692C" w:rsidP="00A369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A5A84" w14:textId="24F6FBC3" w:rsidR="00A3692C" w:rsidRDefault="00A3692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1E1B0" wp14:editId="0202654A">
          <wp:simplePos x="0" y="0"/>
          <wp:positionH relativeFrom="column">
            <wp:posOffset>5368125</wp:posOffset>
          </wp:positionH>
          <wp:positionV relativeFrom="paragraph">
            <wp:posOffset>-251459</wp:posOffset>
          </wp:positionV>
          <wp:extent cx="931333" cy="502920"/>
          <wp:effectExtent l="0" t="0" r="254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SVP logo (male)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67" cy="505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DE8FF7" wp14:editId="46649A91">
          <wp:simplePos x="0" y="0"/>
          <wp:positionH relativeFrom="column">
            <wp:posOffset>-564515</wp:posOffset>
          </wp:positionH>
          <wp:positionV relativeFrom="paragraph">
            <wp:posOffset>-205740</wp:posOffset>
          </wp:positionV>
          <wp:extent cx="3747600" cy="450000"/>
          <wp:effectExtent l="0" t="0" r="5715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7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8FF2C0"/>
    <w:multiLevelType w:val="hybridMultilevel"/>
    <w:tmpl w:val="D5A516C9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939B4D"/>
    <w:multiLevelType w:val="hybridMultilevel"/>
    <w:tmpl w:val="5D9012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36BB8"/>
    <w:multiLevelType w:val="hybridMultilevel"/>
    <w:tmpl w:val="2CC87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C3668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B17A2"/>
    <w:multiLevelType w:val="hybridMultilevel"/>
    <w:tmpl w:val="B4A46824"/>
    <w:lvl w:ilvl="0" w:tplc="8D6CFDAA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A2874"/>
    <w:multiLevelType w:val="hybridMultilevel"/>
    <w:tmpl w:val="45846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8F38B"/>
    <w:multiLevelType w:val="hybridMultilevel"/>
    <w:tmpl w:val="394943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97124B"/>
    <w:multiLevelType w:val="hybridMultilevel"/>
    <w:tmpl w:val="EBF6D2F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658AE"/>
    <w:multiLevelType w:val="hybridMultilevel"/>
    <w:tmpl w:val="B7189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F6C0"/>
    <w:multiLevelType w:val="hybridMultilevel"/>
    <w:tmpl w:val="19293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A6725E"/>
    <w:multiLevelType w:val="hybridMultilevel"/>
    <w:tmpl w:val="A0764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D6720"/>
    <w:multiLevelType w:val="hybridMultilevel"/>
    <w:tmpl w:val="FA262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B03FC"/>
    <w:multiLevelType w:val="multilevel"/>
    <w:tmpl w:val="FF841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95D2AB0"/>
    <w:multiLevelType w:val="hybridMultilevel"/>
    <w:tmpl w:val="9E302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95829"/>
    <w:multiLevelType w:val="hybridMultilevel"/>
    <w:tmpl w:val="D722C7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1235A"/>
    <w:multiLevelType w:val="hybridMultilevel"/>
    <w:tmpl w:val="FD009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42A7D"/>
    <w:multiLevelType w:val="hybridMultilevel"/>
    <w:tmpl w:val="83A2662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82EB4"/>
    <w:multiLevelType w:val="hybridMultilevel"/>
    <w:tmpl w:val="E6201844"/>
    <w:lvl w:ilvl="0" w:tplc="8D6CFDA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632C"/>
    <w:multiLevelType w:val="hybridMultilevel"/>
    <w:tmpl w:val="DB2CA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F1BA5"/>
    <w:multiLevelType w:val="hybridMultilevel"/>
    <w:tmpl w:val="5FB29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677F8"/>
    <w:multiLevelType w:val="hybridMultilevel"/>
    <w:tmpl w:val="7388C11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23BDC"/>
    <w:multiLevelType w:val="hybridMultilevel"/>
    <w:tmpl w:val="62FA7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6"/>
  </w:num>
  <w:num w:numId="5">
    <w:abstractNumId w:val="3"/>
  </w:num>
  <w:num w:numId="6">
    <w:abstractNumId w:val="6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11"/>
  </w:num>
  <w:num w:numId="12">
    <w:abstractNumId w:val="7"/>
  </w:num>
  <w:num w:numId="13">
    <w:abstractNumId w:val="12"/>
  </w:num>
  <w:num w:numId="14">
    <w:abstractNumId w:val="17"/>
  </w:num>
  <w:num w:numId="15">
    <w:abstractNumId w:val="18"/>
  </w:num>
  <w:num w:numId="16">
    <w:abstractNumId w:val="2"/>
  </w:num>
  <w:num w:numId="17">
    <w:abstractNumId w:val="8"/>
  </w:num>
  <w:num w:numId="18">
    <w:abstractNumId w:val="0"/>
  </w:num>
  <w:num w:numId="19">
    <w:abstractNumId w:val="1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C"/>
    <w:rsid w:val="00055872"/>
    <w:rsid w:val="0005725C"/>
    <w:rsid w:val="00071D19"/>
    <w:rsid w:val="000D1C8D"/>
    <w:rsid w:val="000F54F4"/>
    <w:rsid w:val="000F6E92"/>
    <w:rsid w:val="00143A07"/>
    <w:rsid w:val="00143E7F"/>
    <w:rsid w:val="00145927"/>
    <w:rsid w:val="001949C6"/>
    <w:rsid w:val="001B2403"/>
    <w:rsid w:val="001B298F"/>
    <w:rsid w:val="001C6D37"/>
    <w:rsid w:val="001C72BF"/>
    <w:rsid w:val="001D15A9"/>
    <w:rsid w:val="002130AC"/>
    <w:rsid w:val="00221188"/>
    <w:rsid w:val="00231A4D"/>
    <w:rsid w:val="00233CCB"/>
    <w:rsid w:val="00234769"/>
    <w:rsid w:val="00244C75"/>
    <w:rsid w:val="00247460"/>
    <w:rsid w:val="00250B7F"/>
    <w:rsid w:val="00267333"/>
    <w:rsid w:val="00275959"/>
    <w:rsid w:val="00295FFC"/>
    <w:rsid w:val="002A52B4"/>
    <w:rsid w:val="002E34AE"/>
    <w:rsid w:val="002E37E6"/>
    <w:rsid w:val="002F365C"/>
    <w:rsid w:val="003038E8"/>
    <w:rsid w:val="00322798"/>
    <w:rsid w:val="00353AD5"/>
    <w:rsid w:val="003620FB"/>
    <w:rsid w:val="003758BD"/>
    <w:rsid w:val="00377A4D"/>
    <w:rsid w:val="00383C8B"/>
    <w:rsid w:val="003C2606"/>
    <w:rsid w:val="003D0BC4"/>
    <w:rsid w:val="003D0C9B"/>
    <w:rsid w:val="003D390D"/>
    <w:rsid w:val="004147E4"/>
    <w:rsid w:val="0041673B"/>
    <w:rsid w:val="004263FE"/>
    <w:rsid w:val="0043455A"/>
    <w:rsid w:val="0043799C"/>
    <w:rsid w:val="004813E5"/>
    <w:rsid w:val="004A2920"/>
    <w:rsid w:val="004A6CC8"/>
    <w:rsid w:val="004B1271"/>
    <w:rsid w:val="004D77F6"/>
    <w:rsid w:val="004E1A59"/>
    <w:rsid w:val="004E6444"/>
    <w:rsid w:val="00513403"/>
    <w:rsid w:val="00517866"/>
    <w:rsid w:val="00522EF0"/>
    <w:rsid w:val="00532619"/>
    <w:rsid w:val="00550CD1"/>
    <w:rsid w:val="0055615B"/>
    <w:rsid w:val="0055766E"/>
    <w:rsid w:val="00570CC7"/>
    <w:rsid w:val="00573912"/>
    <w:rsid w:val="0058216C"/>
    <w:rsid w:val="00590113"/>
    <w:rsid w:val="005911BE"/>
    <w:rsid w:val="00592EB2"/>
    <w:rsid w:val="005B1109"/>
    <w:rsid w:val="005C277B"/>
    <w:rsid w:val="005C2C7A"/>
    <w:rsid w:val="005D1B99"/>
    <w:rsid w:val="005D546E"/>
    <w:rsid w:val="005D795B"/>
    <w:rsid w:val="005E62C2"/>
    <w:rsid w:val="005E7FE5"/>
    <w:rsid w:val="006005AD"/>
    <w:rsid w:val="006041FA"/>
    <w:rsid w:val="00607B07"/>
    <w:rsid w:val="00627227"/>
    <w:rsid w:val="00643765"/>
    <w:rsid w:val="00652F7A"/>
    <w:rsid w:val="00670FB7"/>
    <w:rsid w:val="0067456A"/>
    <w:rsid w:val="006A4599"/>
    <w:rsid w:val="006B5A7B"/>
    <w:rsid w:val="006B7EF3"/>
    <w:rsid w:val="006C0080"/>
    <w:rsid w:val="007234CE"/>
    <w:rsid w:val="0073753C"/>
    <w:rsid w:val="00745529"/>
    <w:rsid w:val="00753D29"/>
    <w:rsid w:val="00793A1C"/>
    <w:rsid w:val="007A2B23"/>
    <w:rsid w:val="007B1EE2"/>
    <w:rsid w:val="007D5207"/>
    <w:rsid w:val="007D775B"/>
    <w:rsid w:val="007F45C5"/>
    <w:rsid w:val="00802765"/>
    <w:rsid w:val="00815957"/>
    <w:rsid w:val="00824F87"/>
    <w:rsid w:val="00831EA2"/>
    <w:rsid w:val="008332A5"/>
    <w:rsid w:val="00840483"/>
    <w:rsid w:val="00843B1F"/>
    <w:rsid w:val="008505F6"/>
    <w:rsid w:val="00854914"/>
    <w:rsid w:val="00864AAF"/>
    <w:rsid w:val="008876A1"/>
    <w:rsid w:val="00890448"/>
    <w:rsid w:val="008A2D4E"/>
    <w:rsid w:val="008A7BE0"/>
    <w:rsid w:val="008C05A2"/>
    <w:rsid w:val="008E1B08"/>
    <w:rsid w:val="009003E1"/>
    <w:rsid w:val="00920A06"/>
    <w:rsid w:val="00922EC1"/>
    <w:rsid w:val="009579D0"/>
    <w:rsid w:val="00970F5B"/>
    <w:rsid w:val="00971625"/>
    <w:rsid w:val="009D7659"/>
    <w:rsid w:val="009E1C8F"/>
    <w:rsid w:val="009E4032"/>
    <w:rsid w:val="009F1E2D"/>
    <w:rsid w:val="00A00FC2"/>
    <w:rsid w:val="00A241C2"/>
    <w:rsid w:val="00A3692C"/>
    <w:rsid w:val="00A861A0"/>
    <w:rsid w:val="00A96558"/>
    <w:rsid w:val="00AA73DF"/>
    <w:rsid w:val="00AC1DC6"/>
    <w:rsid w:val="00AD6C85"/>
    <w:rsid w:val="00AF0E0A"/>
    <w:rsid w:val="00AF71E4"/>
    <w:rsid w:val="00B0050E"/>
    <w:rsid w:val="00B04193"/>
    <w:rsid w:val="00B16F51"/>
    <w:rsid w:val="00B26049"/>
    <w:rsid w:val="00B57858"/>
    <w:rsid w:val="00B71C3B"/>
    <w:rsid w:val="00B8766A"/>
    <w:rsid w:val="00BA1720"/>
    <w:rsid w:val="00BA63AA"/>
    <w:rsid w:val="00BB32B1"/>
    <w:rsid w:val="00BB5374"/>
    <w:rsid w:val="00BD2AF7"/>
    <w:rsid w:val="00BF26A4"/>
    <w:rsid w:val="00C12F51"/>
    <w:rsid w:val="00C1373B"/>
    <w:rsid w:val="00C40D5B"/>
    <w:rsid w:val="00C41BB3"/>
    <w:rsid w:val="00C57C28"/>
    <w:rsid w:val="00C71BE8"/>
    <w:rsid w:val="00C91AED"/>
    <w:rsid w:val="00CA78BD"/>
    <w:rsid w:val="00CB41D9"/>
    <w:rsid w:val="00CD5EC4"/>
    <w:rsid w:val="00D06132"/>
    <w:rsid w:val="00D064DC"/>
    <w:rsid w:val="00D11C6F"/>
    <w:rsid w:val="00D7257E"/>
    <w:rsid w:val="00D77450"/>
    <w:rsid w:val="00DB3AD4"/>
    <w:rsid w:val="00DB6492"/>
    <w:rsid w:val="00DC2E4B"/>
    <w:rsid w:val="00DC522E"/>
    <w:rsid w:val="00DD3368"/>
    <w:rsid w:val="00DE6388"/>
    <w:rsid w:val="00E04A96"/>
    <w:rsid w:val="00E32E81"/>
    <w:rsid w:val="00E62F22"/>
    <w:rsid w:val="00E97716"/>
    <w:rsid w:val="00EA055F"/>
    <w:rsid w:val="00EA44F1"/>
    <w:rsid w:val="00EC7015"/>
    <w:rsid w:val="00EF5E2B"/>
    <w:rsid w:val="00F37C45"/>
    <w:rsid w:val="00F44C4B"/>
    <w:rsid w:val="00F75564"/>
    <w:rsid w:val="00F77EF5"/>
    <w:rsid w:val="00F82DAD"/>
    <w:rsid w:val="00F875C0"/>
    <w:rsid w:val="00F942A9"/>
    <w:rsid w:val="00FC5DEB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7DA6E3A"/>
  <w15:chartTrackingRefBased/>
  <w15:docId w15:val="{CC62AF63-7029-44B2-9A49-266CF57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3D29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B26049"/>
  </w:style>
  <w:style w:type="paragraph" w:customStyle="1" w:styleId="Default">
    <w:name w:val="Default"/>
    <w:rsid w:val="00592E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92E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1673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7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7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765"/>
    <w:rPr>
      <w:rFonts w:ascii="Calibri" w:eastAsia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7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765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765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692C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69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692C"/>
    <w:rPr>
      <w:rFonts w:ascii="Calibri" w:eastAsia="Calibri" w:hAnsi="Calibri" w:cs="Calibri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B71C3B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yjovske-slovacko.com/sites/default/files/prilohy/2022/01/clld_21_04_127_signovana_pro_podani_do_ms2021.pdf" TargetMode="External"/><Relationship Id="rId13" Type="http://schemas.openxmlformats.org/officeDocument/2006/relationships/hyperlink" Target="https://irop.gov.cz/cs/vyzvy-2021-2027/vyzvy/86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p.gov.cz/getmedia/628209b2-da8b-4177-908b-578f58d8cc01/Specificka_pravidla_86v_Cestovni-ruch_v3_25032025.pdf.aspx?ext=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p.gov.cz/getmedia/b7e00933-49ab-4d5e-8f05-fa856f96553c/Obecna-pravidla-2021-2027_verze-4.pdf.aspx?ext=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rop@kyjovske-slovack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yjovske-slovacko.com/cs/mapy-uzemi" TargetMode="External"/><Relationship Id="rId14" Type="http://schemas.openxmlformats.org/officeDocument/2006/relationships/hyperlink" Target="https://www.kyjovske-slovacko.com/cs/kontakt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C777-F8BB-4A4E-82A2-68A0F412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2085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Tomas</cp:lastModifiedBy>
  <cp:revision>166</cp:revision>
  <dcterms:created xsi:type="dcterms:W3CDTF">2023-04-17T12:53:00Z</dcterms:created>
  <dcterms:modified xsi:type="dcterms:W3CDTF">2025-09-23T11:13:00Z</dcterms:modified>
</cp:coreProperties>
</file>