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CF11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08BA5248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EF353D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7E46E72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16DD152" w14:textId="77777777" w:rsidR="00C0286A" w:rsidRDefault="00C0286A" w:rsidP="00C0286A"/>
    <w:p w14:paraId="4D0422AF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2B382FE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A1AD2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2BB527EF" w14:textId="77777777" w:rsidR="00D42CC7" w:rsidRDefault="00D42CC7" w:rsidP="00D42CC7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5FC9D79C" w14:textId="77777777" w:rsidR="00D42CC7" w:rsidRDefault="00D42CC7" w:rsidP="00526E33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A1AD2">
        <w:rPr>
          <w:rFonts w:cs="MyriadPro-Black"/>
          <w:caps/>
          <w:color w:val="A6A6A6"/>
          <w:sz w:val="40"/>
          <w:szCs w:val="40"/>
        </w:rPr>
        <w:t>4.1</w:t>
      </w:r>
    </w:p>
    <w:p w14:paraId="5D616911" w14:textId="4C56EC5F" w:rsidR="00D42CC7" w:rsidRDefault="00D42CC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F70DE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14:paraId="7D089281" w14:textId="77777777" w:rsidR="00E019A6" w:rsidRDefault="00E019A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CE95D31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1AD2">
        <w:rPr>
          <w:rFonts w:asciiTheme="majorHAnsi" w:hAnsiTheme="majorHAnsi" w:cs="MyriadPro-Black"/>
          <w:caps/>
          <w:sz w:val="40"/>
          <w:szCs w:val="40"/>
        </w:rPr>
        <w:t>8</w:t>
      </w:r>
    </w:p>
    <w:p w14:paraId="2FA9043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1426B3" w14:textId="77777777" w:rsidR="00C0286A" w:rsidRPr="00931A63" w:rsidRDefault="00BD1469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kritéria pro posuzování zajištění služby pro vydání stanoviska Ministerstva zdravotnictví ČR</w:t>
      </w:r>
      <w:r w:rsidR="00E019A6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5A1D5DA5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39E5AC3" w14:textId="63EB6903" w:rsidR="005D26A8" w:rsidRPr="00AB755F" w:rsidRDefault="00EA1AD2" w:rsidP="00EA1AD2">
      <w:pPr>
        <w:pStyle w:val="Zkladnodstavec"/>
        <w:rPr>
          <w:rFonts w:asciiTheme="majorHAnsi" w:hAnsiTheme="majorHAnsi" w:cs="Arial"/>
          <w:color w:val="A6A6A6" w:themeColor="background1" w:themeShade="A6"/>
          <w:sz w:val="32"/>
          <w:szCs w:val="32"/>
        </w:rPr>
      </w:pPr>
      <w:r w:rsidRPr="00AB75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602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C25EF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5703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C25EF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Pr="009B49AE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760270">
        <w:rPr>
          <w:rFonts w:cs="MyriadPro-Black"/>
          <w:caps/>
          <w:color w:val="A6A6A6" w:themeColor="background1" w:themeShade="A6"/>
          <w:sz w:val="32"/>
          <w:szCs w:val="40"/>
        </w:rPr>
        <w:t>8</w:t>
      </w:r>
    </w:p>
    <w:p w14:paraId="5D0CB0D2" w14:textId="77777777" w:rsidR="00333014" w:rsidRDefault="00333014" w:rsidP="004258B6">
      <w:pPr>
        <w:jc w:val="center"/>
        <w:rPr>
          <w:rFonts w:asciiTheme="minorHAnsi" w:hAnsiTheme="minorHAnsi" w:cs="Arial"/>
          <w:b/>
          <w:sz w:val="32"/>
        </w:rPr>
      </w:pPr>
    </w:p>
    <w:p w14:paraId="4AE85B27" w14:textId="77777777" w:rsidR="00BD1469" w:rsidRDefault="00BD1469" w:rsidP="00BD1469">
      <w:pPr>
        <w:suppressAutoHyphens/>
        <w:spacing w:line="276" w:lineRule="auto"/>
        <w:jc w:val="both"/>
        <w:rPr>
          <w:rFonts w:ascii="Myriad Pro" w:eastAsia="MS Mincho" w:hAnsi="Myriad Pro" w:cs="Arial"/>
          <w:b/>
          <w:sz w:val="40"/>
          <w:szCs w:val="40"/>
          <w:u w:val="single"/>
          <w:lang w:eastAsia="ja-JP"/>
        </w:rPr>
      </w:pPr>
    </w:p>
    <w:p w14:paraId="4EFDD277" w14:textId="77777777" w:rsidR="00130B11" w:rsidRPr="00130B11" w:rsidRDefault="00130B11" w:rsidP="00130B11">
      <w:pPr>
        <w:spacing w:after="240"/>
        <w:jc w:val="center"/>
        <w:rPr>
          <w:rFonts w:ascii="Arial" w:eastAsia="MS Mincho" w:hAnsi="Arial" w:cs="Arial"/>
          <w:b/>
          <w:sz w:val="40"/>
          <w:szCs w:val="40"/>
          <w:lang w:eastAsia="ja-JP"/>
        </w:rPr>
      </w:pP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Kritéria, </w:t>
      </w:r>
      <w:r w:rsidRPr="00130B11">
        <w:rPr>
          <w:rFonts w:ascii="Arial" w:hAnsi="Arial" w:cs="Arial"/>
          <w:b/>
          <w:sz w:val="40"/>
          <w:szCs w:val="40"/>
        </w:rPr>
        <w:t>podle</w:t>
      </w: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 kterých budou žádosti posuzovány</w:t>
      </w:r>
    </w:p>
    <w:p w14:paraId="7A7FFD43" w14:textId="77777777" w:rsidR="00130B11" w:rsidRPr="00130B11" w:rsidRDefault="00130B11" w:rsidP="00130B11">
      <w:pPr>
        <w:keepNext/>
        <w:keepLines/>
        <w:suppressAutoHyphens/>
        <w:spacing w:before="360" w:after="240" w:line="276" w:lineRule="auto"/>
        <w:ind w:left="431" w:hanging="431"/>
        <w:jc w:val="center"/>
        <w:outlineLvl w:val="0"/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t>Zřizování nových či rekonstrukce stávajících zařízení pro poskytování komunitní péče</w:t>
      </w:r>
    </w:p>
    <w:p w14:paraId="1B23F1F9" w14:textId="3DB6E30F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Centra duševního zdraví </w:t>
      </w:r>
    </w:p>
    <w:p w14:paraId="4D069008" w14:textId="77777777"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standardů péče dle Standardu péče poskytované v centrech duševního zdraví (dále jen Standard CDZ)</w:t>
      </w:r>
    </w:p>
    <w:p w14:paraId="0FD0740D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odpovídá požadovanému rozsahu služeb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4B00D4D6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je projekt zaměřen na žádoucí cílovou skupinu a předpokládá naplnění všech služeb uvedených v kapitole 2.2. Standardu CDZ, pokrývá spádové území alespoň 60 tis. obyvatel, předpokládá alespoň 120 klientů a počítá s 20 registrovanými klienty na jednoho pracovníka terénního týmu mimo profesí psychiatr, klinický psycholog a pracovníky managementu (do 3 let ode dne zahájení poskytování služeb).</w:t>
      </w:r>
    </w:p>
    <w:p w14:paraId="79F205D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4D6B264" w14:textId="06286529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4B868377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CDZ. Při vzniku centra duševního zdraví (dále jen CDZ) nesmí být počet menší než 4 pracovníci středního zdravotnického personálu a 4 pracovníci zajišťující sociální služby (sociální pracovníci a pracovníci v sociálních službách) a do 3 let ode dne zahájení poskytování služeb nebude menší než 7/7.</w:t>
      </w:r>
    </w:p>
    <w:p w14:paraId="026E3D9B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A3E20D3" w14:textId="56BD8493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CDZ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C7E1D5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materiálně technických kritérií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  <w:t xml:space="preserve">definovaných v kapitole 4. Standardu CDZ a jejich přiměřenost velikosti spádové oblasti, typu regionu a předpokládané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organizaci CDZ. Zároveň bude posuzováno minimální vybavení podle vyhlášky 92/2012 Sb. o požadavcích na minimální technické a věcné vybavení zdravotnických zařízení a kontaktních pracovišť domácí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2D395A0B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0C4028FF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organizační a ostatní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4717FAD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předpoklad naplnění organizačních kritérií uvedených v kapitole 5. a 6. standardu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613BDCCC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50926CDA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C66D2DF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2FB4692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373333EB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14:paraId="425B9909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 </w:t>
      </w:r>
    </w:p>
    <w:p w14:paraId="4F0ABFDE" w14:textId="2D8632F6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Stacionář</w:t>
      </w:r>
      <w:r w:rsidR="00A6666A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e se zaměřením na psychoterapeutické služby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1"/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</w:p>
    <w:p w14:paraId="6A6F7A11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51AAD6E2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zajišťuje, aby poskytovatel zdravotních a sociálních služeb psychoterapeutického stacionáře naplňoval dále stanovené požadavky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22028DD8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14:paraId="570866F7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Léčebný postup v denním stacionáři s psychoterapeutickou péčí sestává zejména ze systematické psychoterapie. </w:t>
      </w:r>
    </w:p>
    <w:p w14:paraId="78630737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Léčebný postup umožňuje zamezit nebo zkrátit hospitalizaci u poskytovatele lůžkových služeb poskytujícího péči v oboru, umožňuje pacientům přirozený kontakt s jejich vlastním sociálním prostředím, zabraňuje nebo zamezuje chronifikaci nemoci, zintenzivňuje odbornou zdravotní péči v lůžkovém zařízení, se kterým denní stacionář spolupracuje a napomáhá reintegraci nemocných do běžného života.</w:t>
      </w:r>
    </w:p>
    <w:p w14:paraId="0A18C1FE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Systematická psychoterapie je v rámci psychoterapeutického programu denního stacionáře poskytována lékařem – psychiatrem nebo klinickým psychologem se zvláštní odbornou způsobilostí v systematické psychoterapii. Podpůrnou psychoterapii vykonávají i další zdravotničtí pracovníci, kteří znalosti k její realizaci získali na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základě své odborné nebo specializované způsobilosti nebo na základě získání zvláštní odborné způsobilosti, pod jejich supervizí.</w:t>
      </w:r>
    </w:p>
    <w:p w14:paraId="72D6EE3C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Psychoterapeutický program je soustava diagnostických a  léčebných  postupů, technik, metod a výkonů, který je vypracován terapeutickým týmem podle povahy onemocnění a potíží pacienta. Psychoterapeutický program sestává z individuálních a skupinových forem psychoterapie a rodinné terapie.</w:t>
      </w:r>
    </w:p>
    <w:p w14:paraId="3A7E6025" w14:textId="77777777"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1D3B3818" w14:textId="3F93DB76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53D34DA6" w14:textId="26571277" w:rsidR="009B0D61" w:rsidRPr="00130B11" w:rsidRDefault="00130B11" w:rsidP="00130B1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</w:t>
      </w:r>
    </w:p>
    <w:p w14:paraId="6C56B251" w14:textId="77777777" w:rsidR="00DA4F64" w:rsidRDefault="00DA4F64" w:rsidP="00474DA9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503C589" w14:textId="77777777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potřeby spádové oblasti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0CBDF935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spádová oblast poskytovaných služeb, cílová skupina, předpokládaný program a zaměření stacionáře, provozní doba, umístění, lokalita a kapacita služeb.</w:t>
      </w:r>
    </w:p>
    <w:p w14:paraId="6F0E10F6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09AD9BBD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643C6A90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CD10C6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Předmětem posouzení bude předpoklad naplnění projektem cílů definovaných v kapitole 4.1. Strategie reformy psychiatrické péče.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7AD5891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6CF8D759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14:paraId="216A60C1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</w:p>
    <w:p w14:paraId="090E837D" w14:textId="77777777"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CD70ECE" w14:textId="77777777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Ambulance s rozšířenou péčí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2"/>
      </w:r>
    </w:p>
    <w:p w14:paraId="315FB7C0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</w:p>
    <w:p w14:paraId="4018FC18" w14:textId="756C157A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požadavky na ambulanci s rozšířenou péčí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98BF92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14:paraId="29E28EEF" w14:textId="3FB72C04" w:rsidR="00130B11" w:rsidRPr="00E524FE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 xml:space="preserve">Cílovou skupinou jsou osoby </w:t>
      </w:r>
      <w:r w:rsidR="00E524FE">
        <w:rPr>
          <w:rFonts w:ascii="Arial" w:eastAsia="MS Mincho" w:hAnsi="Arial" w:cs="Arial"/>
          <w:i/>
          <w:sz w:val="22"/>
          <w:szCs w:val="22"/>
          <w:lang w:eastAsia="ja-JP"/>
        </w:rPr>
        <w:t>z</w:t>
      </w: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> celého diagnostického spektra s důrazem na skupiny pacientů nepokrytých službami CDZ.</w:t>
      </w:r>
    </w:p>
    <w:p w14:paraId="73923605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Služby jsou poskytovány také ve vlastním sociálním prostředí pacienta.</w:t>
      </w:r>
    </w:p>
    <w:p w14:paraId="4B2F5DCB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Organizace práce je založena na principech multidisciplinárního</w:t>
      </w:r>
      <w:r w:rsidRPr="00130B11">
        <w:rPr>
          <w:rFonts w:ascii="Arial" w:eastAsia="MS Mincho" w:hAnsi="Arial" w:cs="Arial"/>
          <w:i/>
          <w:sz w:val="22"/>
          <w:szCs w:val="22"/>
          <w:vertAlign w:val="superscript"/>
          <w:lang w:eastAsia="ja-JP"/>
        </w:rPr>
        <w:footnoteReference w:id="3"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 týmu.</w:t>
      </w:r>
    </w:p>
    <w:p w14:paraId="732E17E0" w14:textId="77777777"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4A56D221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rozsah poskytované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FC8093C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ambulance s rozšířenou péčí bude poskytovat alespoň 4 z vyjmenovaných služeb v kapitole 2.2.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Standardu ambulantní psychiatrické péče a rozšířené ambulantní péče o osoby s duševním onemocněním (dále jen Standard ambulantní péče) v den zahájení poskytování služeb.</w:t>
      </w:r>
    </w:p>
    <w:p w14:paraId="38174D6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7101B6D8" w14:textId="71207881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v souladu se Standardem ambulantní péče</w:t>
      </w:r>
    </w:p>
    <w:p w14:paraId="69D0666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AF5EAB6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ambulantní péče v den zahájení poskytování služeb.</w:t>
      </w:r>
    </w:p>
    <w:p w14:paraId="473A5223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236DD2AC" w14:textId="77777777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ambulantní péče</w:t>
      </w:r>
    </w:p>
    <w:p w14:paraId="4737CEAD" w14:textId="77777777" w:rsidR="00130B11" w:rsidRPr="00130B11" w:rsidRDefault="00130B11" w:rsidP="00130B11">
      <w:pPr>
        <w:suppressAutoHyphens/>
        <w:spacing w:after="200" w:line="276" w:lineRule="auto"/>
        <w:ind w:left="1512" w:firstLine="6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4300938C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naplnění materiálně technických kritérií uvedených v kapitole 4. Standardu ambulantní péče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8292D64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2EBF0C67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724B924C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5838675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6E2616F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35C0A276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Projekt naplňuje doporučení Strategie reformy psychiatrické péče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3A25591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p w14:paraId="45D89BFB" w14:textId="77777777" w:rsidR="00130B11" w:rsidRPr="00130B11" w:rsidRDefault="00130B11" w:rsidP="00130B11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18447F73" w14:textId="77777777" w:rsidR="00F2613F" w:rsidRDefault="00F2613F" w:rsidP="00FE5814">
      <w:pPr>
        <w:rPr>
          <w:rFonts w:eastAsia="MS Mincho"/>
          <w:lang w:eastAsia="ja-JP"/>
        </w:rPr>
      </w:pPr>
    </w:p>
    <w:p w14:paraId="6161E237" w14:textId="6DA050ED" w:rsidR="00130B11" w:rsidRPr="00130B11" w:rsidRDefault="00130B11" w:rsidP="00FE5814">
      <w:pPr>
        <w:ind w:left="1560"/>
        <w:rPr>
          <w:rFonts w:eastAsia="MS Mincho"/>
          <w:sz w:val="22"/>
          <w:szCs w:val="22"/>
          <w:lang w:eastAsia="ja-JP"/>
        </w:rPr>
      </w:pPr>
    </w:p>
    <w:sectPr w:rsidR="00130B11" w:rsidRPr="00130B11" w:rsidSect="001422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D4602" w14:textId="77777777" w:rsidR="00E524FE" w:rsidRDefault="00E524FE" w:rsidP="00634381">
      <w:r>
        <w:separator/>
      </w:r>
    </w:p>
  </w:endnote>
  <w:endnote w:type="continuationSeparator" w:id="0">
    <w:p w14:paraId="3BBDCEAF" w14:textId="77777777" w:rsidR="00E524FE" w:rsidRDefault="00E524F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Times New Roman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524FE" w:rsidRPr="00E47FC1" w14:paraId="605A5E41" w14:textId="77777777" w:rsidTr="00076409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75439D" w14:textId="77777777" w:rsidR="00E524FE" w:rsidRPr="00E47FC1" w:rsidRDefault="00E524FE" w:rsidP="0007640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6AF91A9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73E000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655784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DB0BA4" w14:textId="31942D33" w:rsidR="00E524FE" w:rsidRPr="00E47FC1" w:rsidRDefault="00E524FE" w:rsidP="0007640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076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0769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5DECEFD" w14:textId="77777777" w:rsidR="00E524FE" w:rsidRDefault="00E52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F9EF" w14:textId="77777777" w:rsidR="00E524FE" w:rsidRDefault="00E524FE" w:rsidP="00634381">
      <w:r>
        <w:separator/>
      </w:r>
    </w:p>
  </w:footnote>
  <w:footnote w:type="continuationSeparator" w:id="0">
    <w:p w14:paraId="2945270B" w14:textId="77777777" w:rsidR="00E524FE" w:rsidRDefault="00E524FE" w:rsidP="00634381">
      <w:r>
        <w:continuationSeparator/>
      </w:r>
    </w:p>
  </w:footnote>
  <w:footnote w:id="1">
    <w:p w14:paraId="4603B181" w14:textId="03BB972A" w:rsidR="00E524FE" w:rsidRPr="0066277A" w:rsidRDefault="00E524FE" w:rsidP="008A4059">
      <w:pPr>
        <w:pStyle w:val="Textpoznpodarou"/>
        <w:jc w:val="both"/>
      </w:pPr>
      <w:r w:rsidRPr="00296BAB">
        <w:rPr>
          <w:rStyle w:val="Znakapoznpodarou"/>
        </w:rPr>
        <w:footnoteRef/>
      </w:r>
      <w:r w:rsidRPr="00296BAB">
        <w:t xml:space="preserve">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Stacionářem se rozumí stacionární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péče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jako druh ambulantní zdravotní péče</w:t>
      </w:r>
      <w:r>
        <w:rPr>
          <w:rFonts w:ascii="Arial" w:eastAsia="MS Mincho" w:hAnsi="Arial" w:cs="Arial"/>
          <w:bCs/>
          <w:color w:val="000000"/>
          <w:lang w:eastAsia="ja-JP"/>
        </w:rPr>
        <w:t>,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 xml:space="preserve"> jejímž účelem je poskytování zdravotní péče pacientům, jejichž zdravotní stav vyžaduje opakované denní pos</w:t>
      </w:r>
      <w:r w:rsidR="00157037">
        <w:rPr>
          <w:rFonts w:ascii="Arial" w:eastAsia="MS Mincho" w:hAnsi="Arial" w:cs="Arial"/>
          <w:bCs/>
          <w:color w:val="000000"/>
          <w:lang w:eastAsia="ja-JP"/>
        </w:rPr>
        <w:t xml:space="preserve">kytování ambulantní péče. (viz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§ 7 odst. 2 písm. c) zákona č. 372/2011 Sb.</w:t>
      </w:r>
    </w:p>
  </w:footnote>
  <w:footnote w:id="2">
    <w:p w14:paraId="16BD6CB8" w14:textId="77777777" w:rsidR="00E524FE" w:rsidRDefault="00E524FE" w:rsidP="008A4059">
      <w:pPr>
        <w:pStyle w:val="Textpoznpodarou"/>
        <w:jc w:val="both"/>
      </w:pPr>
      <w:r w:rsidRPr="001347D1">
        <w:rPr>
          <w:rStyle w:val="Znakapoznpodarou"/>
        </w:rPr>
        <w:footnoteRef/>
      </w:r>
      <w:r w:rsidRPr="001347D1">
        <w:t xml:space="preserve"> 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V souladu se zákonem č. 372/2011 Sb. se jedná o poskytovatele zdravotních služeb formou ambulantní péče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v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 xml:space="preserve"> odbornostech dle Standardu ambulantní psychiatrické péče a rozšířené ambulantní péče o osoby s duševním onemocněním (dále jen ambulance s rozšířenou péčí) </w:t>
      </w:r>
      <w:r>
        <w:rPr>
          <w:rFonts w:ascii="Arial" w:eastAsia="MS Mincho" w:hAnsi="Arial" w:cs="Arial"/>
          <w:bCs/>
          <w:color w:val="000000"/>
          <w:lang w:eastAsia="ja-JP"/>
        </w:rPr>
        <w:t>- kapitola 3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.</w:t>
      </w:r>
    </w:p>
  </w:footnote>
  <w:footnote w:id="3">
    <w:p w14:paraId="7C0093ED" w14:textId="77777777" w:rsidR="00E524FE" w:rsidRPr="00786CB5" w:rsidRDefault="00E524FE" w:rsidP="00130B11">
      <w:pPr>
        <w:jc w:val="both"/>
        <w:rPr>
          <w:rFonts w:ascii="Arial" w:eastAsia="MS Mincho" w:hAnsi="Arial" w:cs="Arial"/>
          <w:lang w:eastAsia="ja-JP"/>
        </w:rPr>
      </w:pPr>
      <w:r>
        <w:rPr>
          <w:rStyle w:val="Znakapoznpodarou"/>
        </w:rPr>
        <w:footnoteRef/>
      </w:r>
      <w:r>
        <w:t xml:space="preserve"> 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Multidisciplinárním přístupem se rozumí koordinovaná spolupráce více profesí ze zdravotní a sociální oblasti, jejímž účelem je zabezpečení komplexní péče. Mezi základní činnosti patří porady multidisciplinárního týmu za účelem flexibilní koordinace činnosti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 jednotlivých profesí v zájmu</w:t>
      </w:r>
      <w:r w:rsidRPr="00786CB5">
        <w:rPr>
          <w:rFonts w:ascii="Arial" w:eastAsia="MS Mincho" w:hAnsi="Arial" w:cs="Arial"/>
          <w:lang w:eastAsia="ja-JP"/>
        </w:rPr>
        <w:t xml:space="preserve"> 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uživatele služby a komplexní plánování dlouhodobé péče s definováním konkrétních úkolů jednotlivých profesí.</w:t>
      </w:r>
    </w:p>
    <w:p w14:paraId="3D37D712" w14:textId="51635CD0" w:rsidR="00E524FE" w:rsidRPr="0066277A" w:rsidRDefault="00E524FE" w:rsidP="00130B11">
      <w:pPr>
        <w:jc w:val="both"/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</w:pP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Multidisciplinární tým je tým odborníků, kteří se společně podílejí na zajištění potřeb duševně nemocného. Cílem týmu je komplexní koordinovaná komunitní péče. Tým pracuje obvykle metodou </w:t>
      </w:r>
      <w:r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případového vedení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, práce týmu je orientovaná na klienta, multidisciplinární tým je v každodenním kontaktu a sdílí jedno pracoviště.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468B2" w14:textId="77777777" w:rsidR="00E524FE" w:rsidRDefault="00E524FE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1E6DE51" wp14:editId="60EB82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917060" w14:textId="77777777" w:rsidR="00E524FE" w:rsidRDefault="00E52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3A6"/>
    <w:multiLevelType w:val="hybridMultilevel"/>
    <w:tmpl w:val="42B0D066"/>
    <w:lvl w:ilvl="0" w:tplc="1996CD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930FF"/>
    <w:multiLevelType w:val="hybridMultilevel"/>
    <w:tmpl w:val="E5208F7E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8588A"/>
    <w:multiLevelType w:val="hybridMultilevel"/>
    <w:tmpl w:val="67D8397A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F45BA"/>
    <w:multiLevelType w:val="hybridMultilevel"/>
    <w:tmpl w:val="51B4C6F4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8E5E70"/>
    <w:multiLevelType w:val="hybridMultilevel"/>
    <w:tmpl w:val="9386DFBE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4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5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1"/>
  </w:num>
  <w:num w:numId="16">
    <w:abstractNumId w:val="14"/>
  </w:num>
  <w:num w:numId="17">
    <w:abstractNumId w:val="13"/>
  </w:num>
  <w:num w:numId="18">
    <w:abstractNumId w:val="26"/>
  </w:num>
  <w:num w:numId="19">
    <w:abstractNumId w:val="6"/>
  </w:num>
  <w:num w:numId="20">
    <w:abstractNumId w:val="23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0"/>
  </w:num>
  <w:num w:numId="26">
    <w:abstractNumId w:val="2"/>
  </w:num>
  <w:num w:numId="27">
    <w:abstractNumId w:val="1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43414"/>
    <w:rsid w:val="00057399"/>
    <w:rsid w:val="00057C7F"/>
    <w:rsid w:val="00070FE9"/>
    <w:rsid w:val="000713F8"/>
    <w:rsid w:val="00076409"/>
    <w:rsid w:val="000D25B3"/>
    <w:rsid w:val="000F24BE"/>
    <w:rsid w:val="000F75B7"/>
    <w:rsid w:val="001028C8"/>
    <w:rsid w:val="00106418"/>
    <w:rsid w:val="00130B11"/>
    <w:rsid w:val="00131AD7"/>
    <w:rsid w:val="00141C5B"/>
    <w:rsid w:val="001422BE"/>
    <w:rsid w:val="00147F34"/>
    <w:rsid w:val="0015003C"/>
    <w:rsid w:val="00150AC1"/>
    <w:rsid w:val="00155A3F"/>
    <w:rsid w:val="001563EE"/>
    <w:rsid w:val="00157037"/>
    <w:rsid w:val="00161D23"/>
    <w:rsid w:val="001707EC"/>
    <w:rsid w:val="00174CA1"/>
    <w:rsid w:val="001C1713"/>
    <w:rsid w:val="001C37DF"/>
    <w:rsid w:val="001E18AA"/>
    <w:rsid w:val="001F097B"/>
    <w:rsid w:val="00200268"/>
    <w:rsid w:val="00204D9A"/>
    <w:rsid w:val="00213558"/>
    <w:rsid w:val="0021750B"/>
    <w:rsid w:val="00221B02"/>
    <w:rsid w:val="002265AB"/>
    <w:rsid w:val="00230395"/>
    <w:rsid w:val="00231F50"/>
    <w:rsid w:val="0024080A"/>
    <w:rsid w:val="0025243F"/>
    <w:rsid w:val="002748BB"/>
    <w:rsid w:val="00286C01"/>
    <w:rsid w:val="00287124"/>
    <w:rsid w:val="002A4867"/>
    <w:rsid w:val="002B0FCB"/>
    <w:rsid w:val="002B6138"/>
    <w:rsid w:val="002C177C"/>
    <w:rsid w:val="002D5F48"/>
    <w:rsid w:val="002E7896"/>
    <w:rsid w:val="003016FE"/>
    <w:rsid w:val="00304473"/>
    <w:rsid w:val="0031403F"/>
    <w:rsid w:val="00320082"/>
    <w:rsid w:val="003229C3"/>
    <w:rsid w:val="00324CD8"/>
    <w:rsid w:val="00331484"/>
    <w:rsid w:val="00333014"/>
    <w:rsid w:val="0033728D"/>
    <w:rsid w:val="003406BB"/>
    <w:rsid w:val="00342CA4"/>
    <w:rsid w:val="00346D17"/>
    <w:rsid w:val="0037370B"/>
    <w:rsid w:val="003771A2"/>
    <w:rsid w:val="00391624"/>
    <w:rsid w:val="003926EC"/>
    <w:rsid w:val="003A442E"/>
    <w:rsid w:val="003A775F"/>
    <w:rsid w:val="003A7A28"/>
    <w:rsid w:val="003C3DDB"/>
    <w:rsid w:val="003C5A20"/>
    <w:rsid w:val="003E1C3C"/>
    <w:rsid w:val="00401451"/>
    <w:rsid w:val="00403A84"/>
    <w:rsid w:val="00421366"/>
    <w:rsid w:val="004258B6"/>
    <w:rsid w:val="00462166"/>
    <w:rsid w:val="00474DA9"/>
    <w:rsid w:val="004750AA"/>
    <w:rsid w:val="0048292B"/>
    <w:rsid w:val="00482EA1"/>
    <w:rsid w:val="00482F73"/>
    <w:rsid w:val="004849AE"/>
    <w:rsid w:val="00486EE4"/>
    <w:rsid w:val="004A1556"/>
    <w:rsid w:val="004A2396"/>
    <w:rsid w:val="004A323F"/>
    <w:rsid w:val="004B4FF1"/>
    <w:rsid w:val="004B53A3"/>
    <w:rsid w:val="004C1F8F"/>
    <w:rsid w:val="004D5B5B"/>
    <w:rsid w:val="00517878"/>
    <w:rsid w:val="005211DB"/>
    <w:rsid w:val="00526E33"/>
    <w:rsid w:val="00526EDC"/>
    <w:rsid w:val="00534FBF"/>
    <w:rsid w:val="0053729A"/>
    <w:rsid w:val="00544145"/>
    <w:rsid w:val="0056072C"/>
    <w:rsid w:val="00567C2D"/>
    <w:rsid w:val="00575D74"/>
    <w:rsid w:val="00584A2F"/>
    <w:rsid w:val="00585341"/>
    <w:rsid w:val="00596086"/>
    <w:rsid w:val="005A254F"/>
    <w:rsid w:val="005B2F43"/>
    <w:rsid w:val="005B541D"/>
    <w:rsid w:val="005C62A0"/>
    <w:rsid w:val="005D26A8"/>
    <w:rsid w:val="005E5868"/>
    <w:rsid w:val="005E7F63"/>
    <w:rsid w:val="005F741D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A3C31"/>
    <w:rsid w:val="006D6D28"/>
    <w:rsid w:val="006E5C82"/>
    <w:rsid w:val="006E72F1"/>
    <w:rsid w:val="006F285F"/>
    <w:rsid w:val="006F41E9"/>
    <w:rsid w:val="00714EBA"/>
    <w:rsid w:val="007175CF"/>
    <w:rsid w:val="00720A47"/>
    <w:rsid w:val="00722201"/>
    <w:rsid w:val="007269F2"/>
    <w:rsid w:val="00740ED6"/>
    <w:rsid w:val="00760270"/>
    <w:rsid w:val="0076431E"/>
    <w:rsid w:val="007852CE"/>
    <w:rsid w:val="00786536"/>
    <w:rsid w:val="0078659D"/>
    <w:rsid w:val="007A2125"/>
    <w:rsid w:val="007B1648"/>
    <w:rsid w:val="007C0AB0"/>
    <w:rsid w:val="007C2F05"/>
    <w:rsid w:val="007D5110"/>
    <w:rsid w:val="007D6374"/>
    <w:rsid w:val="00844A16"/>
    <w:rsid w:val="00844F3C"/>
    <w:rsid w:val="00847B5E"/>
    <w:rsid w:val="00863444"/>
    <w:rsid w:val="0087780E"/>
    <w:rsid w:val="00895CD7"/>
    <w:rsid w:val="008A4059"/>
    <w:rsid w:val="008A5F96"/>
    <w:rsid w:val="008B0769"/>
    <w:rsid w:val="008B26DE"/>
    <w:rsid w:val="008E260A"/>
    <w:rsid w:val="008F70DE"/>
    <w:rsid w:val="00900F86"/>
    <w:rsid w:val="0090559D"/>
    <w:rsid w:val="0092570C"/>
    <w:rsid w:val="00932786"/>
    <w:rsid w:val="009343D5"/>
    <w:rsid w:val="00946395"/>
    <w:rsid w:val="009505CE"/>
    <w:rsid w:val="00952FC0"/>
    <w:rsid w:val="00991CCA"/>
    <w:rsid w:val="0099386B"/>
    <w:rsid w:val="009B0D61"/>
    <w:rsid w:val="009B49AE"/>
    <w:rsid w:val="009C3507"/>
    <w:rsid w:val="009D1B0A"/>
    <w:rsid w:val="009D5E0D"/>
    <w:rsid w:val="009E4F57"/>
    <w:rsid w:val="00A24831"/>
    <w:rsid w:val="00A6666A"/>
    <w:rsid w:val="00A67C37"/>
    <w:rsid w:val="00A71E4E"/>
    <w:rsid w:val="00A73F93"/>
    <w:rsid w:val="00A74CDE"/>
    <w:rsid w:val="00A768F1"/>
    <w:rsid w:val="00A87D82"/>
    <w:rsid w:val="00AA6DF7"/>
    <w:rsid w:val="00AA6E68"/>
    <w:rsid w:val="00AB755F"/>
    <w:rsid w:val="00AC20FD"/>
    <w:rsid w:val="00AC4029"/>
    <w:rsid w:val="00AC73FE"/>
    <w:rsid w:val="00B32019"/>
    <w:rsid w:val="00B32AB8"/>
    <w:rsid w:val="00B454D4"/>
    <w:rsid w:val="00B524BF"/>
    <w:rsid w:val="00B55EB2"/>
    <w:rsid w:val="00B7197B"/>
    <w:rsid w:val="00B8276E"/>
    <w:rsid w:val="00B910D8"/>
    <w:rsid w:val="00B9669A"/>
    <w:rsid w:val="00BD1469"/>
    <w:rsid w:val="00BD4468"/>
    <w:rsid w:val="00BE0092"/>
    <w:rsid w:val="00BE2D5E"/>
    <w:rsid w:val="00BE6DB9"/>
    <w:rsid w:val="00BF29F6"/>
    <w:rsid w:val="00BF4CBF"/>
    <w:rsid w:val="00C0286A"/>
    <w:rsid w:val="00C053B0"/>
    <w:rsid w:val="00C23F14"/>
    <w:rsid w:val="00C24C75"/>
    <w:rsid w:val="00C25EF7"/>
    <w:rsid w:val="00C40768"/>
    <w:rsid w:val="00C418C2"/>
    <w:rsid w:val="00C501C4"/>
    <w:rsid w:val="00C65B56"/>
    <w:rsid w:val="00C85696"/>
    <w:rsid w:val="00CB4939"/>
    <w:rsid w:val="00CB588B"/>
    <w:rsid w:val="00CC21DF"/>
    <w:rsid w:val="00CF07BC"/>
    <w:rsid w:val="00CF4451"/>
    <w:rsid w:val="00CF5985"/>
    <w:rsid w:val="00D04B31"/>
    <w:rsid w:val="00D33570"/>
    <w:rsid w:val="00D42CC7"/>
    <w:rsid w:val="00D72128"/>
    <w:rsid w:val="00D77E91"/>
    <w:rsid w:val="00DA1946"/>
    <w:rsid w:val="00DA4909"/>
    <w:rsid w:val="00DA4F64"/>
    <w:rsid w:val="00DA5275"/>
    <w:rsid w:val="00DA67EE"/>
    <w:rsid w:val="00DC0DD9"/>
    <w:rsid w:val="00DD48DD"/>
    <w:rsid w:val="00DF0CF6"/>
    <w:rsid w:val="00E019A6"/>
    <w:rsid w:val="00E02710"/>
    <w:rsid w:val="00E02D46"/>
    <w:rsid w:val="00E11701"/>
    <w:rsid w:val="00E20FDB"/>
    <w:rsid w:val="00E44831"/>
    <w:rsid w:val="00E524FE"/>
    <w:rsid w:val="00E616B5"/>
    <w:rsid w:val="00E86085"/>
    <w:rsid w:val="00E92956"/>
    <w:rsid w:val="00E93FBD"/>
    <w:rsid w:val="00EA1AD2"/>
    <w:rsid w:val="00EB0EA0"/>
    <w:rsid w:val="00EB4303"/>
    <w:rsid w:val="00EB5348"/>
    <w:rsid w:val="00EC190D"/>
    <w:rsid w:val="00EF2FE4"/>
    <w:rsid w:val="00F02008"/>
    <w:rsid w:val="00F11638"/>
    <w:rsid w:val="00F2613F"/>
    <w:rsid w:val="00F31F10"/>
    <w:rsid w:val="00F33CAB"/>
    <w:rsid w:val="00F44F0F"/>
    <w:rsid w:val="00F45CCF"/>
    <w:rsid w:val="00F5156A"/>
    <w:rsid w:val="00F63713"/>
    <w:rsid w:val="00F70BB4"/>
    <w:rsid w:val="00F92E1F"/>
    <w:rsid w:val="00FA79F9"/>
    <w:rsid w:val="00FB0D2C"/>
    <w:rsid w:val="00FC3F4B"/>
    <w:rsid w:val="00FE2F41"/>
    <w:rsid w:val="00FE5814"/>
    <w:rsid w:val="00FE780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8708E35"/>
  <w15:docId w15:val="{7C93B12E-3E34-41B0-B86C-A43FD2EB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B9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54BB8-22D4-4D02-8F71-7F954C4A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1100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Bartošová Eva</cp:lastModifiedBy>
  <cp:revision>10</cp:revision>
  <cp:lastPrinted>2017-02-20T07:50:00Z</cp:lastPrinted>
  <dcterms:created xsi:type="dcterms:W3CDTF">2017-03-21T09:12:00Z</dcterms:created>
  <dcterms:modified xsi:type="dcterms:W3CDTF">2018-11-23T07:42:00Z</dcterms:modified>
</cp:coreProperties>
</file>