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993" w:type="dxa"/>
        <w:tblCellMar>
          <w:left w:w="70" w:type="dxa"/>
          <w:right w:w="70" w:type="dxa"/>
        </w:tblCellMar>
        <w:tblLook w:val="04A0" w:firstRow="1" w:lastRow="0" w:firstColumn="1" w:lastColumn="0" w:noHBand="0" w:noVBand="1"/>
      </w:tblPr>
      <w:tblGrid>
        <w:gridCol w:w="5398"/>
        <w:gridCol w:w="5376"/>
      </w:tblGrid>
      <w:tr w:rsidR="00753D29" w:rsidRPr="00BA701F" w14:paraId="14BAD7DB" w14:textId="77777777" w:rsidTr="00106376">
        <w:trPr>
          <w:trHeight w:val="1896"/>
        </w:trPr>
        <w:tc>
          <w:tcPr>
            <w:tcW w:w="10774" w:type="dxa"/>
            <w:gridSpan w:val="2"/>
            <w:tcBorders>
              <w:top w:val="nil"/>
              <w:left w:val="nil"/>
              <w:bottom w:val="nil"/>
              <w:right w:val="nil"/>
            </w:tcBorders>
            <w:shd w:val="clear" w:color="auto" w:fill="auto"/>
            <w:noWrap/>
            <w:vAlign w:val="bottom"/>
            <w:hideMark/>
          </w:tcPr>
          <w:p w14:paraId="566BB4A4" w14:textId="005E81DE" w:rsidR="00753D29" w:rsidRPr="00BA701F" w:rsidRDefault="00753D29" w:rsidP="00106376">
            <w:pPr>
              <w:spacing w:after="0"/>
              <w:jc w:val="left"/>
              <w:rPr>
                <w:rFonts w:eastAsia="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0624"/>
            </w:tblGrid>
            <w:tr w:rsidR="00753D29" w:rsidRPr="00BA701F" w14:paraId="32DBAA93" w14:textId="77777777" w:rsidTr="00106376">
              <w:trPr>
                <w:trHeight w:val="1896"/>
                <w:tblCellSpacing w:w="0" w:type="dxa"/>
              </w:trPr>
              <w:tc>
                <w:tcPr>
                  <w:tcW w:w="11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DE233" w14:textId="315A134D" w:rsidR="00753D29" w:rsidRPr="00BA701F" w:rsidRDefault="00753D29" w:rsidP="00EF5E2B">
                  <w:pPr>
                    <w:jc w:val="center"/>
                    <w:rPr>
                      <w:rFonts w:eastAsia="Times New Roman"/>
                      <w:b/>
                      <w:bCs/>
                      <w:color w:val="000000"/>
                      <w:sz w:val="28"/>
                      <w:szCs w:val="28"/>
                    </w:rPr>
                  </w:pPr>
                  <w:r w:rsidRPr="00BA701F">
                    <w:rPr>
                      <w:rFonts w:eastAsia="Times New Roman"/>
                      <w:b/>
                      <w:bCs/>
                      <w:color w:val="000000"/>
                      <w:sz w:val="28"/>
                      <w:szCs w:val="28"/>
                    </w:rPr>
                    <w:t xml:space="preserve">Kyjovské Slovácko v </w:t>
                  </w:r>
                  <w:proofErr w:type="gramStart"/>
                  <w:r w:rsidRPr="00BA701F">
                    <w:rPr>
                      <w:rFonts w:eastAsia="Times New Roman"/>
                      <w:b/>
                      <w:bCs/>
                      <w:color w:val="000000"/>
                      <w:sz w:val="28"/>
                      <w:szCs w:val="28"/>
                    </w:rPr>
                    <w:t>pohybu, z.s.</w:t>
                  </w:r>
                  <w:proofErr w:type="gramEnd"/>
                  <w:r w:rsidRPr="00BA701F">
                    <w:rPr>
                      <w:rFonts w:eastAsia="Times New Roman"/>
                      <w:b/>
                      <w:bCs/>
                      <w:color w:val="000000"/>
                      <w:sz w:val="28"/>
                      <w:szCs w:val="28"/>
                    </w:rPr>
                    <w:t xml:space="preserve"> </w:t>
                  </w:r>
                  <w:r w:rsidRPr="00BA701F">
                    <w:rPr>
                      <w:rFonts w:eastAsia="Times New Roman"/>
                      <w:b/>
                      <w:bCs/>
                      <w:color w:val="000000"/>
                      <w:sz w:val="28"/>
                      <w:szCs w:val="28"/>
                    </w:rPr>
                    <w:br/>
                  </w:r>
                  <w:r w:rsidRPr="00BA701F">
                    <w:rPr>
                      <w:rFonts w:eastAsia="Times New Roman"/>
                      <w:color w:val="000000"/>
                      <w:sz w:val="28"/>
                      <w:szCs w:val="28"/>
                    </w:rPr>
                    <w:t xml:space="preserve">vyhlašuje </w:t>
                  </w:r>
                  <w:r w:rsidR="00EF5E2B">
                    <w:rPr>
                      <w:rFonts w:eastAsia="Times New Roman"/>
                      <w:b/>
                      <w:bCs/>
                      <w:color w:val="000000"/>
                      <w:sz w:val="28"/>
                      <w:szCs w:val="28"/>
                    </w:rPr>
                    <w:br/>
                    <w:t>4</w:t>
                  </w:r>
                  <w:r w:rsidRPr="00BA701F">
                    <w:rPr>
                      <w:rFonts w:eastAsia="Times New Roman"/>
                      <w:b/>
                      <w:bCs/>
                      <w:color w:val="000000"/>
                      <w:sz w:val="28"/>
                      <w:szCs w:val="28"/>
                    </w:rPr>
                    <w:t>. výzvu</w:t>
                  </w:r>
                  <w:r w:rsidRPr="00BA701F">
                    <w:rPr>
                      <w:rFonts w:eastAsia="Times New Roman"/>
                      <w:b/>
                      <w:bCs/>
                      <w:color w:val="000000"/>
                      <w:sz w:val="28"/>
                      <w:szCs w:val="28"/>
                    </w:rPr>
                    <w:br/>
                  </w:r>
                  <w:r w:rsidRPr="00BA701F">
                    <w:rPr>
                      <w:rFonts w:eastAsia="Times New Roman"/>
                      <w:color w:val="000000"/>
                      <w:sz w:val="28"/>
                      <w:szCs w:val="28"/>
                    </w:rPr>
                    <w:t>s názvem</w:t>
                  </w:r>
                  <w:r>
                    <w:rPr>
                      <w:rFonts w:eastAsia="Times New Roman"/>
                      <w:b/>
                      <w:bCs/>
                      <w:color w:val="000000"/>
                      <w:sz w:val="28"/>
                      <w:szCs w:val="28"/>
                    </w:rPr>
                    <w:br/>
                  </w:r>
                  <w:r w:rsidR="00EF5E2B">
                    <w:rPr>
                      <w:rFonts w:eastAsia="Times New Roman"/>
                      <w:b/>
                      <w:bCs/>
                      <w:color w:val="000000"/>
                      <w:sz w:val="28"/>
                      <w:szCs w:val="28"/>
                    </w:rPr>
                    <w:t>4</w:t>
                  </w:r>
                  <w:r w:rsidRPr="00753D29">
                    <w:rPr>
                      <w:rFonts w:eastAsia="Times New Roman"/>
                      <w:b/>
                      <w:bCs/>
                      <w:color w:val="000000"/>
                      <w:sz w:val="28"/>
                      <w:szCs w:val="28"/>
                    </w:rPr>
                    <w:t xml:space="preserve">. Výzva IROP 21+ </w:t>
                  </w:r>
                  <w:r w:rsidR="00EF5E2B">
                    <w:rPr>
                      <w:rFonts w:eastAsia="Times New Roman"/>
                      <w:b/>
                      <w:bCs/>
                      <w:color w:val="000000"/>
                      <w:sz w:val="28"/>
                      <w:szCs w:val="28"/>
                    </w:rPr>
                    <w:t>cestovní ruch</w:t>
                  </w:r>
                </w:p>
              </w:tc>
            </w:tr>
          </w:tbl>
          <w:p w14:paraId="302BA08C" w14:textId="77777777" w:rsidR="00753D29" w:rsidRPr="00BA701F" w:rsidRDefault="00753D29" w:rsidP="00106376">
            <w:pPr>
              <w:spacing w:after="0"/>
              <w:jc w:val="left"/>
              <w:rPr>
                <w:rFonts w:eastAsia="Times New Roman"/>
                <w:color w:val="000000"/>
              </w:rPr>
            </w:pPr>
          </w:p>
        </w:tc>
      </w:tr>
      <w:tr w:rsidR="00753D29" w:rsidRPr="00BA701F" w14:paraId="5BEE9483"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EF79A7D"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Identifikace výzvy</w:t>
            </w:r>
          </w:p>
        </w:tc>
      </w:tr>
      <w:tr w:rsidR="00753D29" w:rsidRPr="00BA701F" w14:paraId="3D0353BE"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6AC43D07"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Operační program</w:t>
            </w:r>
          </w:p>
        </w:tc>
        <w:tc>
          <w:tcPr>
            <w:tcW w:w="5376" w:type="dxa"/>
            <w:tcBorders>
              <w:top w:val="nil"/>
              <w:left w:val="nil"/>
              <w:bottom w:val="single" w:sz="4" w:space="0" w:color="auto"/>
              <w:right w:val="single" w:sz="4" w:space="0" w:color="auto"/>
            </w:tcBorders>
            <w:shd w:val="clear" w:color="auto" w:fill="auto"/>
            <w:noWrap/>
            <w:vAlign w:val="bottom"/>
            <w:hideMark/>
          </w:tcPr>
          <w:p w14:paraId="056634C6" w14:textId="77777777" w:rsidR="00753D29" w:rsidRPr="00F77EF5" w:rsidRDefault="00B26049" w:rsidP="00106376">
            <w:pPr>
              <w:spacing w:after="0"/>
              <w:jc w:val="left"/>
              <w:rPr>
                <w:rFonts w:asciiTheme="minorHAnsi" w:eastAsia="Times New Roman" w:hAnsiTheme="minorHAnsi" w:cstheme="minorHAnsi"/>
                <w:color w:val="000000"/>
              </w:rPr>
            </w:pPr>
            <w:r w:rsidRPr="00F77EF5">
              <w:rPr>
                <w:rStyle w:val="markedcontent"/>
                <w:rFonts w:asciiTheme="minorHAnsi" w:hAnsiTheme="minorHAnsi" w:cstheme="minorHAnsi"/>
              </w:rPr>
              <w:t>Integrovaný regionální operační program 2021–2027</w:t>
            </w:r>
          </w:p>
        </w:tc>
      </w:tr>
      <w:tr w:rsidR="00753D29" w:rsidRPr="00BA701F" w14:paraId="519B18D5"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43B06243"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Číslo a název výzvy ŘO IROP</w:t>
            </w:r>
          </w:p>
        </w:tc>
        <w:tc>
          <w:tcPr>
            <w:tcW w:w="5376" w:type="dxa"/>
            <w:tcBorders>
              <w:top w:val="nil"/>
              <w:left w:val="nil"/>
              <w:bottom w:val="single" w:sz="4" w:space="0" w:color="auto"/>
              <w:right w:val="single" w:sz="4" w:space="0" w:color="auto"/>
            </w:tcBorders>
            <w:shd w:val="clear" w:color="auto" w:fill="auto"/>
            <w:noWrap/>
            <w:vAlign w:val="bottom"/>
            <w:hideMark/>
          </w:tcPr>
          <w:p w14:paraId="60B66DB1" w14:textId="13B09B94" w:rsidR="00753D29" w:rsidRPr="00F77EF5" w:rsidRDefault="00EF5E2B" w:rsidP="00106376">
            <w:pPr>
              <w:spacing w:after="0"/>
              <w:jc w:val="left"/>
              <w:rPr>
                <w:rFonts w:asciiTheme="minorHAnsi" w:eastAsia="Times New Roman" w:hAnsiTheme="minorHAnsi" w:cstheme="minorHAnsi"/>
                <w:color w:val="00000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753D29" w:rsidRPr="00BA701F" w14:paraId="7C9CBF12"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4614950C"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Číslo a název výzvy MAS</w:t>
            </w:r>
          </w:p>
        </w:tc>
        <w:tc>
          <w:tcPr>
            <w:tcW w:w="5376" w:type="dxa"/>
            <w:tcBorders>
              <w:top w:val="nil"/>
              <w:left w:val="nil"/>
              <w:bottom w:val="single" w:sz="4" w:space="0" w:color="auto"/>
              <w:right w:val="single" w:sz="4" w:space="0" w:color="auto"/>
            </w:tcBorders>
            <w:shd w:val="clear" w:color="auto" w:fill="auto"/>
            <w:noWrap/>
            <w:vAlign w:val="bottom"/>
            <w:hideMark/>
          </w:tcPr>
          <w:p w14:paraId="1EA6B5E4" w14:textId="65ADE93A" w:rsidR="00753D29" w:rsidRPr="00F77EF5" w:rsidRDefault="00EF5E2B" w:rsidP="00EF5E2B">
            <w:pPr>
              <w:spacing w:after="0"/>
              <w:jc w:val="left"/>
              <w:rPr>
                <w:rFonts w:asciiTheme="minorHAnsi" w:eastAsia="Times New Roman" w:hAnsiTheme="minorHAnsi" w:cstheme="minorHAnsi"/>
                <w:color w:val="000000"/>
              </w:rPr>
            </w:pPr>
            <w:r>
              <w:rPr>
                <w:rStyle w:val="markedcontent"/>
                <w:rFonts w:asciiTheme="minorHAnsi" w:hAnsiTheme="minorHAnsi" w:cstheme="minorHAnsi"/>
              </w:rPr>
              <w:t>4</w:t>
            </w:r>
            <w:r w:rsidR="001B2403" w:rsidRPr="00F77EF5">
              <w:rPr>
                <w:rStyle w:val="markedcontent"/>
                <w:rFonts w:asciiTheme="minorHAnsi" w:hAnsiTheme="minorHAnsi" w:cstheme="minorHAnsi"/>
              </w:rPr>
              <w:t xml:space="preserve">. Výzva IROP 21+ </w:t>
            </w:r>
            <w:r>
              <w:rPr>
                <w:rStyle w:val="markedcontent"/>
                <w:rFonts w:asciiTheme="minorHAnsi" w:hAnsiTheme="minorHAnsi" w:cstheme="minorHAnsi"/>
              </w:rPr>
              <w:t>cestovní ruch</w:t>
            </w:r>
          </w:p>
        </w:tc>
      </w:tr>
      <w:tr w:rsidR="00753D29" w:rsidRPr="00BA701F" w14:paraId="0D65DDD7"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245B0E2D"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 xml:space="preserve">Opatření Programového rámce IROP </w:t>
            </w:r>
          </w:p>
        </w:tc>
        <w:tc>
          <w:tcPr>
            <w:tcW w:w="5376" w:type="dxa"/>
            <w:tcBorders>
              <w:top w:val="nil"/>
              <w:left w:val="nil"/>
              <w:bottom w:val="single" w:sz="4" w:space="0" w:color="auto"/>
              <w:right w:val="single" w:sz="4" w:space="0" w:color="auto"/>
            </w:tcBorders>
            <w:shd w:val="clear" w:color="auto" w:fill="auto"/>
            <w:noWrap/>
            <w:vAlign w:val="bottom"/>
            <w:hideMark/>
          </w:tcPr>
          <w:p w14:paraId="543B98E8" w14:textId="03F3FB36" w:rsidR="00753D29" w:rsidRPr="00F77EF5" w:rsidRDefault="00753D29" w:rsidP="00106376">
            <w:pPr>
              <w:spacing w:after="0"/>
              <w:jc w:val="left"/>
              <w:rPr>
                <w:rFonts w:asciiTheme="minorHAnsi" w:eastAsia="Times New Roman" w:hAnsiTheme="minorHAnsi" w:cstheme="minorHAnsi"/>
                <w:color w:val="000000"/>
              </w:rPr>
            </w:pPr>
            <w:r w:rsidRPr="00F77EF5">
              <w:rPr>
                <w:rFonts w:asciiTheme="minorHAnsi" w:eastAsia="Times New Roman" w:hAnsiTheme="minorHAnsi" w:cstheme="minorHAnsi"/>
                <w:color w:val="000000"/>
              </w:rPr>
              <w:t> </w:t>
            </w:r>
            <w:r w:rsidR="00EF5E2B">
              <w:rPr>
                <w:rFonts w:asciiTheme="minorHAnsi" w:eastAsia="Arial" w:hAnsiTheme="minorHAnsi" w:cstheme="minorHAnsi"/>
              </w:rPr>
              <w:t>Opatření 4 IROP – CESTOVNÍ RUCH</w:t>
            </w:r>
          </w:p>
        </w:tc>
      </w:tr>
      <w:tr w:rsidR="00071D19" w:rsidRPr="00BA701F" w14:paraId="68DD51EC"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tcPr>
          <w:p w14:paraId="1BE5CC94" w14:textId="5BD053A0" w:rsidR="00071D19" w:rsidRPr="00BA701F" w:rsidRDefault="00071D19" w:rsidP="00106376">
            <w:pPr>
              <w:spacing w:after="0"/>
              <w:jc w:val="left"/>
              <w:rPr>
                <w:rFonts w:eastAsia="Times New Roman"/>
                <w:b/>
                <w:bCs/>
                <w:color w:val="000000"/>
              </w:rPr>
            </w:pPr>
            <w:r>
              <w:rPr>
                <w:rFonts w:eastAsia="Times New Roman"/>
                <w:b/>
                <w:bCs/>
                <w:color w:val="000000"/>
              </w:rPr>
              <w:t>Úvodní informace k výzvě</w:t>
            </w:r>
          </w:p>
        </w:tc>
        <w:tc>
          <w:tcPr>
            <w:tcW w:w="5376" w:type="dxa"/>
            <w:tcBorders>
              <w:top w:val="nil"/>
              <w:left w:val="nil"/>
              <w:bottom w:val="single" w:sz="4" w:space="0" w:color="auto"/>
              <w:right w:val="single" w:sz="4" w:space="0" w:color="auto"/>
            </w:tcBorders>
            <w:shd w:val="clear" w:color="auto" w:fill="auto"/>
            <w:noWrap/>
            <w:vAlign w:val="bottom"/>
          </w:tcPr>
          <w:p w14:paraId="59E60868" w14:textId="26981B73" w:rsidR="00071D19" w:rsidRPr="00F77EF5" w:rsidRDefault="00071D19" w:rsidP="002F365C">
            <w:pPr>
              <w:spacing w:after="0"/>
              <w:jc w:val="left"/>
              <w:rPr>
                <w:rFonts w:asciiTheme="minorHAnsi" w:eastAsia="Times New Roman" w:hAnsiTheme="minorHAnsi" w:cstheme="minorHAnsi"/>
                <w:color w:val="000000"/>
              </w:rPr>
            </w:pPr>
            <w:r w:rsidRPr="00071D19">
              <w:rPr>
                <w:rStyle w:val="markedcontent"/>
                <w:rFonts w:asciiTheme="minorHAnsi" w:hAnsiTheme="minorHAnsi" w:cstheme="minorHAnsi"/>
              </w:rPr>
              <w:t>Výzva MAS je určena pro výběr projektových záměrů, kterým bude na základě procesu výběru stanoveném v Interních postupech MAS vydáno Vyjádření MAS o souladu/nesouladu projektového záměru se schválenou strategií CLLD. Kladné vyjádření vydává MAS pouze do 100% alokace výzvy MAS za splnění podmínek výzvy MAS. Na základě obdržení Vyjádření MAS o souladu se schválenou strategií CLLD jsou žadateli rezervovány prostředky v rámci příslušného opatření programového rámce IROP. Po obdržení Vyjádření MAS o souladu se schválenou strategií CLLD žadatel zahájí dopracování projektového záměru a jeho předložení v systému MS2021+ do příslušné výzvy ŘO. Žadatel se řídí do vydání Právního aktu/Rozhodnutí verzí pravidel účinných v den podání žádosti o podporu. V době realizace a udržitelnosti projektu, tj. od vydání Právního aktu/Rozhodnutí se příjemce řídí aktuálně účinnou verzí pravidel.</w:t>
            </w:r>
          </w:p>
        </w:tc>
      </w:tr>
      <w:tr w:rsidR="00753D29" w:rsidRPr="00BA701F" w14:paraId="6BB3E717" w14:textId="77777777" w:rsidTr="00106376">
        <w:trPr>
          <w:trHeight w:val="288"/>
        </w:trPr>
        <w:tc>
          <w:tcPr>
            <w:tcW w:w="5398" w:type="dxa"/>
            <w:tcBorders>
              <w:top w:val="nil"/>
              <w:left w:val="nil"/>
              <w:bottom w:val="nil"/>
              <w:right w:val="nil"/>
            </w:tcBorders>
            <w:shd w:val="clear" w:color="auto" w:fill="auto"/>
            <w:noWrap/>
            <w:vAlign w:val="bottom"/>
            <w:hideMark/>
          </w:tcPr>
          <w:p w14:paraId="17FC479E" w14:textId="77777777" w:rsidR="00753D29" w:rsidRPr="00BA701F" w:rsidRDefault="00753D29" w:rsidP="00106376">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445428F4" w14:textId="77777777" w:rsidR="00753D29" w:rsidRPr="00BA701F" w:rsidRDefault="00753D29" w:rsidP="00106376">
            <w:pPr>
              <w:spacing w:after="0"/>
              <w:jc w:val="left"/>
              <w:rPr>
                <w:rFonts w:ascii="Times New Roman" w:eastAsia="Times New Roman" w:hAnsi="Times New Roman" w:cs="Times New Roman"/>
                <w:sz w:val="20"/>
                <w:szCs w:val="20"/>
              </w:rPr>
            </w:pPr>
          </w:p>
        </w:tc>
      </w:tr>
      <w:tr w:rsidR="00753D29" w:rsidRPr="00BA701F" w14:paraId="1718DF38"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FB53E03"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Termíny</w:t>
            </w:r>
          </w:p>
        </w:tc>
      </w:tr>
      <w:tr w:rsidR="00753D29" w:rsidRPr="00BA701F" w14:paraId="3BC71565"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30383100"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Datum a čas vyhlášení výzvy MAS</w:t>
            </w:r>
          </w:p>
        </w:tc>
        <w:tc>
          <w:tcPr>
            <w:tcW w:w="5376" w:type="dxa"/>
            <w:tcBorders>
              <w:top w:val="nil"/>
              <w:left w:val="nil"/>
              <w:bottom w:val="single" w:sz="4" w:space="0" w:color="auto"/>
              <w:right w:val="single" w:sz="4" w:space="0" w:color="auto"/>
            </w:tcBorders>
            <w:shd w:val="clear" w:color="auto" w:fill="auto"/>
            <w:noWrap/>
            <w:vAlign w:val="bottom"/>
            <w:hideMark/>
          </w:tcPr>
          <w:p w14:paraId="76BC95AD" w14:textId="36A46E13" w:rsidR="00753D29" w:rsidRPr="00BD2AF7" w:rsidRDefault="00753D29" w:rsidP="00106376">
            <w:pPr>
              <w:spacing w:after="0"/>
              <w:jc w:val="left"/>
              <w:rPr>
                <w:rFonts w:eastAsia="Times New Roman"/>
                <w:color w:val="000000"/>
              </w:rPr>
            </w:pPr>
            <w:r w:rsidRPr="00BD2AF7">
              <w:rPr>
                <w:rFonts w:eastAsia="Times New Roman"/>
                <w:color w:val="000000"/>
              </w:rPr>
              <w:t> </w:t>
            </w:r>
            <w:r w:rsidR="006041FA">
              <w:rPr>
                <w:rFonts w:eastAsia="Times New Roman"/>
                <w:color w:val="000000"/>
              </w:rPr>
              <w:t>29</w:t>
            </w:r>
            <w:r w:rsidR="003038E8">
              <w:rPr>
                <w:rFonts w:eastAsia="Times New Roman"/>
                <w:color w:val="000000"/>
              </w:rPr>
              <w:t>. 12</w:t>
            </w:r>
            <w:r w:rsidR="001B2403" w:rsidRPr="00BD2AF7">
              <w:rPr>
                <w:rFonts w:eastAsia="Times New Roman"/>
                <w:color w:val="000000"/>
              </w:rPr>
              <w:t>. 2023</w:t>
            </w:r>
            <w:r w:rsidR="005B1109" w:rsidRPr="00BD2AF7">
              <w:rPr>
                <w:rFonts w:eastAsia="Times New Roman"/>
                <w:color w:val="000000"/>
              </w:rPr>
              <w:t>,</w:t>
            </w:r>
            <w:r w:rsidR="001B2403" w:rsidRPr="00BD2AF7">
              <w:rPr>
                <w:rFonts w:eastAsia="Times New Roman"/>
                <w:color w:val="000000"/>
              </w:rPr>
              <w:t xml:space="preserve"> </w:t>
            </w:r>
            <w:r w:rsidR="005B1109" w:rsidRPr="00BD2AF7">
              <w:rPr>
                <w:rFonts w:eastAsia="Times New Roman"/>
                <w:color w:val="000000"/>
              </w:rPr>
              <w:t>12:00 hod.</w:t>
            </w:r>
          </w:p>
        </w:tc>
      </w:tr>
      <w:tr w:rsidR="00753D29" w:rsidRPr="00BA701F" w14:paraId="663EC79D"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5F8C8DCB"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 xml:space="preserve">Datum a čas zahájení příjmu žádostí </w:t>
            </w:r>
          </w:p>
        </w:tc>
        <w:tc>
          <w:tcPr>
            <w:tcW w:w="5376" w:type="dxa"/>
            <w:tcBorders>
              <w:top w:val="nil"/>
              <w:left w:val="nil"/>
              <w:bottom w:val="single" w:sz="4" w:space="0" w:color="auto"/>
              <w:right w:val="single" w:sz="4" w:space="0" w:color="auto"/>
            </w:tcBorders>
            <w:shd w:val="clear" w:color="auto" w:fill="auto"/>
            <w:noWrap/>
            <w:vAlign w:val="bottom"/>
            <w:hideMark/>
          </w:tcPr>
          <w:p w14:paraId="2E28973D" w14:textId="56720D48" w:rsidR="00753D29" w:rsidRPr="00BD2AF7" w:rsidRDefault="00753D29" w:rsidP="00106376">
            <w:pPr>
              <w:spacing w:after="0"/>
              <w:jc w:val="left"/>
              <w:rPr>
                <w:rFonts w:eastAsia="Times New Roman"/>
                <w:color w:val="000000"/>
              </w:rPr>
            </w:pPr>
            <w:r w:rsidRPr="00BD2AF7">
              <w:rPr>
                <w:rFonts w:eastAsia="Times New Roman"/>
                <w:color w:val="000000"/>
              </w:rPr>
              <w:t> </w:t>
            </w:r>
            <w:r w:rsidR="006041FA">
              <w:rPr>
                <w:rFonts w:eastAsia="Times New Roman"/>
                <w:color w:val="000000"/>
              </w:rPr>
              <w:t>29</w:t>
            </w:r>
            <w:r w:rsidR="003038E8">
              <w:rPr>
                <w:rFonts w:eastAsia="Times New Roman"/>
                <w:color w:val="000000"/>
              </w:rPr>
              <w:t>. 12</w:t>
            </w:r>
            <w:r w:rsidR="005B1109" w:rsidRPr="00BD2AF7">
              <w:rPr>
                <w:rFonts w:eastAsia="Times New Roman"/>
                <w:color w:val="000000"/>
              </w:rPr>
              <w:t>. 2023, 12:00 hod.</w:t>
            </w:r>
          </w:p>
        </w:tc>
      </w:tr>
      <w:tr w:rsidR="00753D29" w:rsidRPr="00BA701F" w14:paraId="4CC6C98F"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117CC4AE"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 xml:space="preserve">Datum a čas ukončení příjmu žádostí o podporu </w:t>
            </w:r>
          </w:p>
        </w:tc>
        <w:tc>
          <w:tcPr>
            <w:tcW w:w="5376" w:type="dxa"/>
            <w:tcBorders>
              <w:top w:val="nil"/>
              <w:left w:val="nil"/>
              <w:bottom w:val="single" w:sz="4" w:space="0" w:color="auto"/>
              <w:right w:val="single" w:sz="4" w:space="0" w:color="auto"/>
            </w:tcBorders>
            <w:shd w:val="clear" w:color="auto" w:fill="auto"/>
            <w:noWrap/>
            <w:vAlign w:val="bottom"/>
            <w:hideMark/>
          </w:tcPr>
          <w:p w14:paraId="7A91F73D" w14:textId="720AFDB8" w:rsidR="00753D29" w:rsidRPr="00BA701F" w:rsidRDefault="00753D29" w:rsidP="00106376">
            <w:pPr>
              <w:spacing w:after="0"/>
              <w:jc w:val="left"/>
              <w:rPr>
                <w:rFonts w:eastAsia="Times New Roman"/>
                <w:color w:val="000000"/>
              </w:rPr>
            </w:pPr>
            <w:r w:rsidRPr="00BA701F">
              <w:rPr>
                <w:rFonts w:eastAsia="Times New Roman"/>
                <w:color w:val="000000"/>
              </w:rPr>
              <w:t> </w:t>
            </w:r>
            <w:r w:rsidR="006041FA">
              <w:rPr>
                <w:rFonts w:eastAsia="Times New Roman"/>
                <w:color w:val="000000"/>
              </w:rPr>
              <w:t>28. 3</w:t>
            </w:r>
            <w:r w:rsidR="003038E8">
              <w:rPr>
                <w:rFonts w:eastAsia="Times New Roman"/>
                <w:color w:val="000000"/>
              </w:rPr>
              <w:t>. 2024</w:t>
            </w:r>
            <w:r w:rsidR="005B1109">
              <w:rPr>
                <w:rFonts w:eastAsia="Times New Roman"/>
                <w:color w:val="000000"/>
              </w:rPr>
              <w:t>, 12:00 hod.</w:t>
            </w:r>
          </w:p>
        </w:tc>
      </w:tr>
      <w:tr w:rsidR="00753D29" w:rsidRPr="00BA701F" w14:paraId="6A781569"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012F4A18" w14:textId="242D5CE8" w:rsidR="00753D29" w:rsidRPr="00BA701F" w:rsidRDefault="00AF71E4" w:rsidP="00106376">
            <w:pPr>
              <w:spacing w:after="0"/>
              <w:jc w:val="left"/>
              <w:rPr>
                <w:rFonts w:eastAsia="Times New Roman"/>
                <w:b/>
                <w:bCs/>
                <w:color w:val="000000"/>
              </w:rPr>
            </w:pPr>
            <w:r>
              <w:rPr>
                <w:rFonts w:eastAsia="Times New Roman"/>
                <w:b/>
                <w:bCs/>
                <w:color w:val="000000"/>
              </w:rPr>
              <w:t>Počáteční</w:t>
            </w:r>
            <w:r w:rsidR="004B1271">
              <w:rPr>
                <w:rFonts w:eastAsia="Times New Roman"/>
                <w:b/>
                <w:bCs/>
                <w:color w:val="000000"/>
              </w:rPr>
              <w:t xml:space="preserve"> d</w:t>
            </w:r>
            <w:r w:rsidR="00753D29" w:rsidRPr="00BA701F">
              <w:rPr>
                <w:rFonts w:eastAsia="Times New Roman"/>
                <w:b/>
                <w:bCs/>
                <w:color w:val="000000"/>
              </w:rPr>
              <w:t>atum zahájení realizace projektu</w:t>
            </w:r>
            <w:r>
              <w:rPr>
                <w:rFonts w:eastAsia="Times New Roman"/>
                <w:b/>
                <w:bCs/>
                <w:color w:val="000000"/>
              </w:rPr>
              <w:t xml:space="preserve"> - nejdříve</w:t>
            </w:r>
          </w:p>
        </w:tc>
        <w:tc>
          <w:tcPr>
            <w:tcW w:w="5376" w:type="dxa"/>
            <w:tcBorders>
              <w:top w:val="nil"/>
              <w:left w:val="nil"/>
              <w:bottom w:val="single" w:sz="4" w:space="0" w:color="auto"/>
              <w:right w:val="single" w:sz="4" w:space="0" w:color="auto"/>
            </w:tcBorders>
            <w:shd w:val="clear" w:color="auto" w:fill="auto"/>
            <w:noWrap/>
            <w:vAlign w:val="bottom"/>
            <w:hideMark/>
          </w:tcPr>
          <w:p w14:paraId="0E3A37B7" w14:textId="77777777" w:rsidR="00753D29" w:rsidRPr="00BA701F" w:rsidRDefault="00753D29" w:rsidP="00106376">
            <w:pPr>
              <w:spacing w:after="0"/>
              <w:jc w:val="left"/>
              <w:rPr>
                <w:rFonts w:eastAsia="Times New Roman"/>
                <w:color w:val="000000"/>
              </w:rPr>
            </w:pPr>
            <w:r w:rsidRPr="00BA701F">
              <w:rPr>
                <w:rFonts w:eastAsia="Times New Roman"/>
                <w:color w:val="000000"/>
              </w:rPr>
              <w:t> </w:t>
            </w:r>
            <w:r w:rsidR="005B1109">
              <w:rPr>
                <w:rFonts w:eastAsia="Times New Roman"/>
                <w:color w:val="000000"/>
              </w:rPr>
              <w:t>1. 1. 2021</w:t>
            </w:r>
          </w:p>
        </w:tc>
      </w:tr>
      <w:tr w:rsidR="00753D29" w:rsidRPr="00BA701F" w14:paraId="1EAC09AA"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1BDA4FC0" w14:textId="24FBAF94" w:rsidR="00753D29" w:rsidRPr="00BA701F" w:rsidRDefault="004B1271" w:rsidP="00106376">
            <w:pPr>
              <w:spacing w:after="0"/>
              <w:jc w:val="left"/>
              <w:rPr>
                <w:rFonts w:eastAsia="Times New Roman"/>
                <w:b/>
                <w:bCs/>
                <w:color w:val="000000"/>
              </w:rPr>
            </w:pPr>
            <w:r>
              <w:rPr>
                <w:rFonts w:eastAsia="Times New Roman"/>
                <w:b/>
                <w:bCs/>
                <w:color w:val="000000"/>
              </w:rPr>
              <w:t>Nejzazší</w:t>
            </w:r>
            <w:r w:rsidRPr="00BA701F">
              <w:rPr>
                <w:rFonts w:eastAsia="Times New Roman"/>
                <w:b/>
                <w:bCs/>
                <w:color w:val="000000"/>
              </w:rPr>
              <w:t xml:space="preserve"> </w:t>
            </w:r>
            <w:r>
              <w:rPr>
                <w:rFonts w:eastAsia="Times New Roman"/>
                <w:b/>
                <w:bCs/>
                <w:color w:val="000000"/>
              </w:rPr>
              <w:t>d</w:t>
            </w:r>
            <w:r w:rsidR="00753D29" w:rsidRPr="00BA701F">
              <w:rPr>
                <w:rFonts w:eastAsia="Times New Roman"/>
                <w:b/>
                <w:bCs/>
                <w:color w:val="000000"/>
              </w:rPr>
              <w:t>atum ukončení realizace projektu</w:t>
            </w:r>
          </w:p>
        </w:tc>
        <w:tc>
          <w:tcPr>
            <w:tcW w:w="5376" w:type="dxa"/>
            <w:tcBorders>
              <w:top w:val="nil"/>
              <w:left w:val="nil"/>
              <w:bottom w:val="single" w:sz="4" w:space="0" w:color="auto"/>
              <w:right w:val="single" w:sz="4" w:space="0" w:color="auto"/>
            </w:tcBorders>
            <w:shd w:val="clear" w:color="auto" w:fill="auto"/>
            <w:noWrap/>
            <w:vAlign w:val="bottom"/>
            <w:hideMark/>
          </w:tcPr>
          <w:p w14:paraId="3FFB95F0" w14:textId="3EFEE263" w:rsidR="005C2C7A" w:rsidRDefault="00753D29" w:rsidP="00106376">
            <w:pPr>
              <w:spacing w:after="0"/>
              <w:jc w:val="left"/>
              <w:rPr>
                <w:rFonts w:eastAsia="Times New Roman"/>
                <w:color w:val="000000"/>
              </w:rPr>
            </w:pPr>
            <w:r w:rsidRPr="00BA701F">
              <w:rPr>
                <w:rFonts w:eastAsia="Times New Roman"/>
                <w:color w:val="000000"/>
              </w:rPr>
              <w:t> </w:t>
            </w:r>
            <w:r w:rsidR="00C1373B">
              <w:rPr>
                <w:rFonts w:eastAsia="Times New Roman"/>
                <w:color w:val="000000"/>
              </w:rPr>
              <w:t>30. 6. 2029</w:t>
            </w:r>
            <w:r w:rsidR="005C2C7A">
              <w:rPr>
                <w:rFonts w:eastAsia="Times New Roman"/>
                <w:color w:val="000000"/>
              </w:rPr>
              <w:t xml:space="preserve"> </w:t>
            </w:r>
          </w:p>
          <w:p w14:paraId="17811D5F" w14:textId="77777777" w:rsidR="00231A4D" w:rsidRDefault="00231A4D" w:rsidP="00106376">
            <w:pPr>
              <w:spacing w:after="0"/>
              <w:jc w:val="left"/>
              <w:rPr>
                <w:rFonts w:eastAsia="Times New Roman"/>
                <w:color w:val="000000"/>
              </w:rPr>
            </w:pPr>
            <w:r>
              <w:rPr>
                <w:rFonts w:eastAsia="Times New Roman"/>
                <w:color w:val="000000"/>
              </w:rPr>
              <w:t>Realizace projektu nesmí být formálně ani fyzicky ukončena před podáním žádosti o podporu v MS2021+.</w:t>
            </w:r>
          </w:p>
          <w:p w14:paraId="441CDBF1" w14:textId="171D5C32" w:rsidR="003D0C9B" w:rsidRDefault="007234CE" w:rsidP="00F82DAD">
            <w:pPr>
              <w:spacing w:after="0"/>
              <w:jc w:val="left"/>
              <w:rPr>
                <w:rFonts w:eastAsia="Times New Roman"/>
                <w:color w:val="000000"/>
              </w:rPr>
            </w:pPr>
            <w:r>
              <w:rPr>
                <w:rFonts w:eastAsia="Times New Roman"/>
                <w:color w:val="000000"/>
              </w:rPr>
              <w:t>Dřívější ukončení realizace projektu je bonifikováno v rámci věcného hodnocení projektů</w:t>
            </w:r>
            <w:r w:rsidR="003D0C9B">
              <w:rPr>
                <w:rFonts w:eastAsia="Times New Roman"/>
                <w:color w:val="000000"/>
              </w:rPr>
              <w:t xml:space="preserve"> v kritériu č. 2</w:t>
            </w:r>
            <w:r>
              <w:rPr>
                <w:rFonts w:eastAsia="Times New Roman"/>
                <w:color w:val="000000"/>
              </w:rPr>
              <w:t>.</w:t>
            </w:r>
            <w:r w:rsidR="003D0C9B">
              <w:rPr>
                <w:rFonts w:eastAsia="Times New Roman"/>
                <w:color w:val="000000"/>
              </w:rPr>
              <w:t xml:space="preserve"> Žadatel uvádí v projektovém záměru D</w:t>
            </w:r>
            <w:r w:rsidR="003D0C9B" w:rsidRPr="003D0C9B">
              <w:rPr>
                <w:rFonts w:eastAsia="Times New Roman"/>
                <w:color w:val="000000"/>
              </w:rPr>
              <w:t>atum předložení dokumentace k závěrečnému vyhodnocení akce na ŘO IROP (podání Žádosti o platbu)</w:t>
            </w:r>
            <w:r w:rsidR="003D0C9B">
              <w:rPr>
                <w:rFonts w:eastAsia="Times New Roman"/>
                <w:color w:val="000000"/>
              </w:rPr>
              <w:t xml:space="preserve">. Pokud </w:t>
            </w:r>
            <w:r w:rsidR="003D0C9B" w:rsidRPr="003D0C9B">
              <w:rPr>
                <w:rFonts w:eastAsia="Times New Roman"/>
                <w:color w:val="000000"/>
              </w:rPr>
              <w:t>Datum předložení dokumentace k závěrečnému vyhodnocení akce na ŘO IROP (podání Žádosti o platbu),  předchází datu 30. 6. 2025</w:t>
            </w:r>
            <w:r w:rsidR="003D0C9B">
              <w:rPr>
                <w:rFonts w:eastAsia="Times New Roman"/>
                <w:color w:val="000000"/>
              </w:rPr>
              <w:t>. O</w:t>
            </w:r>
            <w:r w:rsidR="008E1B08">
              <w:rPr>
                <w:rFonts w:eastAsia="Times New Roman"/>
                <w:color w:val="000000"/>
              </w:rPr>
              <w:t xml:space="preserve">bdrží žadatel bodové zvýhodnění a současně napomáhá k dodržování finančních plánů ŘO IROP. Od tohoto data se odvíjí </w:t>
            </w:r>
            <w:r w:rsidR="008E1B08" w:rsidRPr="008E1B08">
              <w:rPr>
                <w:rFonts w:eastAsia="Times New Roman"/>
                <w:color w:val="000000"/>
              </w:rPr>
              <w:t xml:space="preserve">Nejzazší datum ukončení realizace </w:t>
            </w:r>
            <w:r w:rsidR="008E1B08" w:rsidRPr="008E1B08">
              <w:rPr>
                <w:rFonts w:eastAsia="Times New Roman"/>
                <w:color w:val="000000"/>
              </w:rPr>
              <w:lastRenderedPageBreak/>
              <w:t>projektu</w:t>
            </w:r>
            <w:r w:rsidR="003620FB">
              <w:rPr>
                <w:rFonts w:eastAsia="Times New Roman"/>
                <w:color w:val="000000"/>
              </w:rPr>
              <w:t>, které musí být nastaveno na 20 pracovních dní před tímto datem.</w:t>
            </w:r>
            <w:r w:rsidR="003D0C9B">
              <w:rPr>
                <w:rFonts w:eastAsia="Times New Roman"/>
                <w:color w:val="000000"/>
              </w:rPr>
              <w:t xml:space="preserve"> </w:t>
            </w:r>
            <w:r>
              <w:rPr>
                <w:rFonts w:eastAsia="Times New Roman"/>
                <w:color w:val="000000"/>
              </w:rPr>
              <w:t xml:space="preserve"> </w:t>
            </w:r>
          </w:p>
          <w:p w14:paraId="21323871" w14:textId="4A5D2F6D" w:rsidR="007234CE" w:rsidRPr="00BA701F" w:rsidRDefault="007234CE" w:rsidP="00C57C28">
            <w:pPr>
              <w:spacing w:after="0"/>
              <w:jc w:val="left"/>
              <w:rPr>
                <w:rFonts w:eastAsia="Times New Roman"/>
                <w:color w:val="000000"/>
              </w:rPr>
            </w:pPr>
            <w:r>
              <w:rPr>
                <w:rFonts w:eastAsia="Times New Roman"/>
                <w:color w:val="000000"/>
              </w:rPr>
              <w:t xml:space="preserve">Pokud bude žadatel nárokovat body za </w:t>
            </w:r>
            <w:r w:rsidR="00F82DAD">
              <w:rPr>
                <w:rFonts w:eastAsia="Times New Roman"/>
                <w:color w:val="000000"/>
              </w:rPr>
              <w:t xml:space="preserve">dřívější </w:t>
            </w:r>
            <w:r>
              <w:rPr>
                <w:rFonts w:eastAsia="Times New Roman"/>
                <w:color w:val="000000"/>
              </w:rPr>
              <w:t>ukončení realizace projektu, nebude možné</w:t>
            </w:r>
            <w:r w:rsidR="001D15A9">
              <w:rPr>
                <w:rFonts w:eastAsia="Times New Roman"/>
                <w:color w:val="000000"/>
              </w:rPr>
              <w:t xml:space="preserve"> již</w:t>
            </w:r>
            <w:r w:rsidR="00F82DAD">
              <w:rPr>
                <w:rFonts w:eastAsia="Times New Roman"/>
                <w:color w:val="000000"/>
              </w:rPr>
              <w:t xml:space="preserve"> provádět žádosti o změnu ukončení realizace projektu</w:t>
            </w:r>
            <w:r w:rsidR="00C57C28">
              <w:rPr>
                <w:rFonts w:eastAsia="Times New Roman"/>
                <w:color w:val="000000"/>
              </w:rPr>
              <w:t>,</w:t>
            </w:r>
            <w:r w:rsidR="001D15A9">
              <w:rPr>
                <w:rFonts w:eastAsia="Times New Roman"/>
                <w:color w:val="000000"/>
              </w:rPr>
              <w:t xml:space="preserve"> </w:t>
            </w:r>
            <w:r w:rsidR="00C57C28">
              <w:rPr>
                <w:rFonts w:eastAsia="Times New Roman"/>
                <w:color w:val="000000"/>
              </w:rPr>
              <w:t xml:space="preserve">v nichž by </w:t>
            </w:r>
            <w:r w:rsidR="00C57C28" w:rsidRPr="003D0C9B">
              <w:rPr>
                <w:rFonts w:eastAsia="Times New Roman"/>
                <w:color w:val="000000"/>
              </w:rPr>
              <w:t>Datum předložení dokumentace k závěrečnému vyhodnocení akce na ŘO IROP (podání Žádosti o platbu)</w:t>
            </w:r>
            <w:r w:rsidR="00C57C28">
              <w:rPr>
                <w:rFonts w:eastAsia="Times New Roman"/>
                <w:color w:val="000000"/>
              </w:rPr>
              <w:t xml:space="preserve"> překročilo datum 30. 6. 2025.</w:t>
            </w:r>
          </w:p>
        </w:tc>
      </w:tr>
      <w:tr w:rsidR="00FC7B39" w:rsidRPr="00BA701F" w14:paraId="0EE5D90A" w14:textId="77777777" w:rsidTr="002E37E6">
        <w:trPr>
          <w:trHeight w:val="521"/>
        </w:trPr>
        <w:tc>
          <w:tcPr>
            <w:tcW w:w="5398" w:type="dxa"/>
            <w:tcBorders>
              <w:top w:val="nil"/>
              <w:left w:val="single" w:sz="4" w:space="0" w:color="auto"/>
              <w:bottom w:val="single" w:sz="4" w:space="0" w:color="auto"/>
              <w:right w:val="single" w:sz="4" w:space="0" w:color="auto"/>
            </w:tcBorders>
            <w:shd w:val="clear" w:color="000000" w:fill="D9D9D9"/>
            <w:vAlign w:val="center"/>
          </w:tcPr>
          <w:p w14:paraId="5D28C2BC" w14:textId="111CC12C" w:rsidR="00FC7B39" w:rsidRDefault="00FC7B39" w:rsidP="00106376">
            <w:pPr>
              <w:spacing w:after="0"/>
              <w:jc w:val="left"/>
              <w:rPr>
                <w:rFonts w:eastAsia="Times New Roman"/>
                <w:b/>
                <w:bCs/>
                <w:color w:val="000000"/>
              </w:rPr>
            </w:pPr>
            <w:r>
              <w:rPr>
                <w:rFonts w:eastAsia="Times New Roman"/>
                <w:b/>
                <w:bCs/>
                <w:color w:val="000000"/>
              </w:rPr>
              <w:lastRenderedPageBreak/>
              <w:t>Nejzazší</w:t>
            </w:r>
            <w:r w:rsidRPr="00BA701F">
              <w:rPr>
                <w:rFonts w:eastAsia="Times New Roman"/>
                <w:b/>
                <w:bCs/>
                <w:color w:val="000000"/>
              </w:rPr>
              <w:t xml:space="preserve"> </w:t>
            </w:r>
            <w:r>
              <w:rPr>
                <w:rFonts w:eastAsia="Times New Roman"/>
                <w:b/>
                <w:bCs/>
                <w:color w:val="000000"/>
              </w:rPr>
              <w:t>d</w:t>
            </w:r>
            <w:r w:rsidRPr="00BA701F">
              <w:rPr>
                <w:rFonts w:eastAsia="Times New Roman"/>
                <w:b/>
                <w:bCs/>
                <w:color w:val="000000"/>
              </w:rPr>
              <w:t>atum</w:t>
            </w:r>
            <w:r>
              <w:rPr>
                <w:rFonts w:eastAsia="Times New Roman"/>
                <w:b/>
                <w:bCs/>
                <w:color w:val="000000"/>
              </w:rPr>
              <w:t xml:space="preserve"> pro podání projektu přes MS 2021+</w:t>
            </w:r>
          </w:p>
        </w:tc>
        <w:tc>
          <w:tcPr>
            <w:tcW w:w="5376" w:type="dxa"/>
            <w:tcBorders>
              <w:top w:val="nil"/>
              <w:left w:val="nil"/>
              <w:bottom w:val="single" w:sz="4" w:space="0" w:color="auto"/>
              <w:right w:val="single" w:sz="4" w:space="0" w:color="auto"/>
            </w:tcBorders>
            <w:shd w:val="clear" w:color="auto" w:fill="auto"/>
            <w:noWrap/>
            <w:vAlign w:val="center"/>
          </w:tcPr>
          <w:p w14:paraId="7FC3A034" w14:textId="6B4AEC69" w:rsidR="00FC7B39" w:rsidRPr="00BA701F" w:rsidRDefault="008A7BE0" w:rsidP="002E37E6">
            <w:pPr>
              <w:spacing w:after="0"/>
              <w:jc w:val="left"/>
              <w:rPr>
                <w:rFonts w:eastAsia="Times New Roman"/>
                <w:color w:val="000000"/>
              </w:rPr>
            </w:pPr>
            <w:r>
              <w:rPr>
                <w:rFonts w:eastAsia="Times New Roman"/>
                <w:color w:val="000000"/>
              </w:rPr>
              <w:t>30</w:t>
            </w:r>
            <w:r w:rsidR="00DC522E">
              <w:rPr>
                <w:rFonts w:eastAsia="Times New Roman"/>
                <w:color w:val="000000"/>
              </w:rPr>
              <w:t xml:space="preserve">. </w:t>
            </w:r>
            <w:r>
              <w:rPr>
                <w:rFonts w:eastAsia="Times New Roman"/>
                <w:color w:val="000000"/>
              </w:rPr>
              <w:t>9</w:t>
            </w:r>
            <w:r w:rsidR="00DC522E">
              <w:rPr>
                <w:rFonts w:eastAsia="Times New Roman"/>
                <w:color w:val="000000"/>
              </w:rPr>
              <w:t xml:space="preserve">. </w:t>
            </w:r>
            <w:r w:rsidR="00B8766A">
              <w:rPr>
                <w:rFonts w:eastAsia="Times New Roman"/>
                <w:color w:val="000000"/>
              </w:rPr>
              <w:t>2024</w:t>
            </w:r>
          </w:p>
        </w:tc>
      </w:tr>
      <w:tr w:rsidR="00753D29" w:rsidRPr="00BA701F" w14:paraId="36BEE132" w14:textId="77777777" w:rsidTr="00106376">
        <w:trPr>
          <w:trHeight w:val="288"/>
        </w:trPr>
        <w:tc>
          <w:tcPr>
            <w:tcW w:w="5398" w:type="dxa"/>
            <w:tcBorders>
              <w:top w:val="nil"/>
              <w:left w:val="nil"/>
              <w:bottom w:val="nil"/>
              <w:right w:val="nil"/>
            </w:tcBorders>
            <w:shd w:val="clear" w:color="auto" w:fill="auto"/>
            <w:noWrap/>
            <w:vAlign w:val="bottom"/>
            <w:hideMark/>
          </w:tcPr>
          <w:p w14:paraId="48FB8497" w14:textId="77777777" w:rsidR="00753D29" w:rsidRPr="00BA701F" w:rsidRDefault="00753D29" w:rsidP="00106376">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741A79C8" w14:textId="77777777" w:rsidR="00753D29" w:rsidRPr="00BA701F" w:rsidRDefault="00753D29" w:rsidP="00106376">
            <w:pPr>
              <w:spacing w:after="0"/>
              <w:jc w:val="left"/>
              <w:rPr>
                <w:rFonts w:ascii="Times New Roman" w:eastAsia="Times New Roman" w:hAnsi="Times New Roman" w:cs="Times New Roman"/>
                <w:sz w:val="20"/>
                <w:szCs w:val="20"/>
              </w:rPr>
            </w:pPr>
          </w:p>
        </w:tc>
      </w:tr>
      <w:tr w:rsidR="00753D29" w:rsidRPr="00BA701F" w14:paraId="3E0692D4"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1899"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Podpora</w:t>
            </w:r>
          </w:p>
        </w:tc>
      </w:tr>
      <w:tr w:rsidR="00753D29" w:rsidRPr="00BA701F" w14:paraId="0C133D3B" w14:textId="77777777" w:rsidTr="005B1109">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1D3BA26A" w14:textId="77777777" w:rsidR="00753D29" w:rsidRPr="00BA701F" w:rsidRDefault="00753D29" w:rsidP="00106376">
            <w:pPr>
              <w:spacing w:after="0"/>
              <w:jc w:val="left"/>
              <w:rPr>
                <w:rFonts w:eastAsia="Times New Roman"/>
                <w:b/>
                <w:bCs/>
              </w:rPr>
            </w:pPr>
            <w:r w:rsidRPr="00BA701F">
              <w:rPr>
                <w:rFonts w:eastAsia="Times New Roman"/>
                <w:b/>
                <w:bCs/>
              </w:rPr>
              <w:t>Alokace výzvy MAS (CZV)</w:t>
            </w:r>
          </w:p>
        </w:tc>
        <w:tc>
          <w:tcPr>
            <w:tcW w:w="5376" w:type="dxa"/>
            <w:tcBorders>
              <w:top w:val="nil"/>
              <w:left w:val="nil"/>
              <w:bottom w:val="single" w:sz="4" w:space="0" w:color="auto"/>
              <w:right w:val="single" w:sz="4" w:space="0" w:color="auto"/>
            </w:tcBorders>
            <w:shd w:val="clear" w:color="auto" w:fill="auto"/>
            <w:noWrap/>
            <w:vAlign w:val="center"/>
            <w:hideMark/>
          </w:tcPr>
          <w:p w14:paraId="13D2765B" w14:textId="7477C652" w:rsidR="00753D29" w:rsidRPr="00BA701F" w:rsidRDefault="003C2606" w:rsidP="005B1109">
            <w:pPr>
              <w:spacing w:after="0"/>
              <w:jc w:val="left"/>
              <w:rPr>
                <w:rFonts w:eastAsia="Times New Roman"/>
                <w:color w:val="000000"/>
              </w:rPr>
            </w:pPr>
            <w:r>
              <w:rPr>
                <w:rFonts w:asciiTheme="minorHAnsi" w:eastAsia="Times New Roman" w:hAnsiTheme="minorHAnsi" w:cstheme="minorHAnsi"/>
                <w:bCs/>
                <w:kern w:val="36"/>
                <w:szCs w:val="20"/>
              </w:rPr>
              <w:t>12 273 687 Kč</w:t>
            </w:r>
          </w:p>
        </w:tc>
      </w:tr>
      <w:tr w:rsidR="00753D29" w:rsidRPr="00BA701F" w14:paraId="4B17A1CC" w14:textId="77777777" w:rsidTr="005B1109">
        <w:trPr>
          <w:trHeight w:val="52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5920AE70"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 xml:space="preserve">Míra podpory </w:t>
            </w:r>
          </w:p>
        </w:tc>
        <w:tc>
          <w:tcPr>
            <w:tcW w:w="5376" w:type="dxa"/>
            <w:tcBorders>
              <w:top w:val="nil"/>
              <w:left w:val="nil"/>
              <w:bottom w:val="single" w:sz="4" w:space="0" w:color="auto"/>
              <w:right w:val="single" w:sz="4" w:space="0" w:color="auto"/>
            </w:tcBorders>
            <w:shd w:val="clear" w:color="auto" w:fill="auto"/>
            <w:noWrap/>
            <w:vAlign w:val="center"/>
            <w:hideMark/>
          </w:tcPr>
          <w:p w14:paraId="55D0ECC2" w14:textId="1425EC66" w:rsidR="00753D29" w:rsidRPr="00BA701F" w:rsidRDefault="00753D29" w:rsidP="005B1109">
            <w:pPr>
              <w:spacing w:after="0"/>
              <w:jc w:val="left"/>
              <w:rPr>
                <w:rFonts w:eastAsia="Times New Roman"/>
                <w:color w:val="000000"/>
              </w:rPr>
            </w:pPr>
            <w:r w:rsidRPr="00BA701F">
              <w:rPr>
                <w:rFonts w:eastAsia="Times New Roman"/>
                <w:color w:val="000000"/>
              </w:rPr>
              <w:t> </w:t>
            </w:r>
            <w:r w:rsidR="005B1109">
              <w:rPr>
                <w:rFonts w:eastAsia="Times New Roman"/>
                <w:color w:val="000000"/>
              </w:rPr>
              <w:t>95 % z</w:t>
            </w:r>
            <w:r w:rsidR="005D795B">
              <w:rPr>
                <w:rFonts w:eastAsia="Times New Roman"/>
                <w:color w:val="000000"/>
              </w:rPr>
              <w:t> </w:t>
            </w:r>
            <w:r w:rsidR="005B1109">
              <w:rPr>
                <w:rFonts w:eastAsia="Times New Roman"/>
                <w:color w:val="000000"/>
              </w:rPr>
              <w:t>CZV</w:t>
            </w:r>
            <w:r w:rsidR="005D795B">
              <w:rPr>
                <w:rFonts w:eastAsia="Times New Roman"/>
                <w:color w:val="000000"/>
              </w:rPr>
              <w:t xml:space="preserve"> (</w:t>
            </w:r>
            <w:r w:rsidR="009E1C8F">
              <w:rPr>
                <w:rFonts w:eastAsia="Times New Roman"/>
                <w:color w:val="000000"/>
              </w:rPr>
              <w:t>EFRR 95</w:t>
            </w:r>
            <w:r w:rsidR="005D795B" w:rsidRPr="005D795B">
              <w:rPr>
                <w:rFonts w:eastAsia="Times New Roman"/>
                <w:color w:val="000000"/>
              </w:rPr>
              <w:t xml:space="preserve"> %, SR 15 %</w:t>
            </w:r>
            <w:r w:rsidR="005D795B">
              <w:rPr>
                <w:rFonts w:eastAsia="Times New Roman"/>
                <w:color w:val="000000"/>
              </w:rPr>
              <w:t>)</w:t>
            </w:r>
          </w:p>
        </w:tc>
      </w:tr>
      <w:tr w:rsidR="00753D29" w:rsidRPr="00BA701F" w14:paraId="30F68B8B" w14:textId="77777777" w:rsidTr="005B1109">
        <w:trPr>
          <w:trHeight w:val="576"/>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64A6E859"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Minimální výše celkových způsobilých výdajů projektu</w:t>
            </w:r>
          </w:p>
        </w:tc>
        <w:tc>
          <w:tcPr>
            <w:tcW w:w="5376" w:type="dxa"/>
            <w:tcBorders>
              <w:top w:val="nil"/>
              <w:left w:val="nil"/>
              <w:bottom w:val="single" w:sz="4" w:space="0" w:color="auto"/>
              <w:right w:val="single" w:sz="4" w:space="0" w:color="auto"/>
            </w:tcBorders>
            <w:shd w:val="clear" w:color="auto" w:fill="auto"/>
            <w:noWrap/>
            <w:vAlign w:val="center"/>
            <w:hideMark/>
          </w:tcPr>
          <w:p w14:paraId="722C84FB" w14:textId="58CAD05B" w:rsidR="00753D29" w:rsidRPr="00BA701F" w:rsidRDefault="00753D29" w:rsidP="005B1109">
            <w:pPr>
              <w:spacing w:after="0"/>
              <w:jc w:val="left"/>
              <w:rPr>
                <w:rFonts w:eastAsia="Times New Roman"/>
                <w:color w:val="000000"/>
              </w:rPr>
            </w:pPr>
            <w:r w:rsidRPr="00BA701F">
              <w:rPr>
                <w:rFonts w:eastAsia="Times New Roman"/>
                <w:color w:val="000000"/>
              </w:rPr>
              <w:t> </w:t>
            </w:r>
            <w:r w:rsidR="003C2606">
              <w:rPr>
                <w:rFonts w:eastAsia="Times New Roman"/>
                <w:color w:val="000000"/>
              </w:rPr>
              <w:t>23</w:t>
            </w:r>
            <w:r w:rsidR="005D795B">
              <w:rPr>
                <w:rFonts w:eastAsia="Times New Roman"/>
                <w:color w:val="000000"/>
              </w:rPr>
              <w:t>0 000 Kč</w:t>
            </w:r>
          </w:p>
        </w:tc>
      </w:tr>
      <w:tr w:rsidR="00753D29" w:rsidRPr="00BA701F" w14:paraId="5232649C" w14:textId="77777777" w:rsidTr="005C2C7A">
        <w:trPr>
          <w:trHeight w:val="576"/>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7D541ECC"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Maximální výše celkových způsobilých výdajů projektu</w:t>
            </w:r>
          </w:p>
        </w:tc>
        <w:tc>
          <w:tcPr>
            <w:tcW w:w="5376" w:type="dxa"/>
            <w:tcBorders>
              <w:top w:val="nil"/>
              <w:left w:val="nil"/>
              <w:bottom w:val="single" w:sz="4" w:space="0" w:color="auto"/>
              <w:right w:val="single" w:sz="4" w:space="0" w:color="auto"/>
            </w:tcBorders>
            <w:shd w:val="clear" w:color="auto" w:fill="auto"/>
            <w:noWrap/>
            <w:vAlign w:val="center"/>
            <w:hideMark/>
          </w:tcPr>
          <w:p w14:paraId="1F2E6701" w14:textId="79B589F6" w:rsidR="00753D29" w:rsidRPr="00BA701F" w:rsidRDefault="00753D29" w:rsidP="005B1109">
            <w:pPr>
              <w:spacing w:after="0"/>
              <w:jc w:val="left"/>
              <w:rPr>
                <w:rFonts w:eastAsia="Times New Roman"/>
                <w:color w:val="000000"/>
              </w:rPr>
            </w:pPr>
            <w:r w:rsidRPr="00BA701F">
              <w:rPr>
                <w:rFonts w:eastAsia="Times New Roman"/>
                <w:color w:val="000000"/>
              </w:rPr>
              <w:t> </w:t>
            </w:r>
            <w:r w:rsidR="00590113">
              <w:rPr>
                <w:rFonts w:eastAsia="Times New Roman"/>
                <w:color w:val="000000"/>
              </w:rPr>
              <w:t>4</w:t>
            </w:r>
            <w:r w:rsidR="008332A5">
              <w:rPr>
                <w:rFonts w:eastAsia="Times New Roman"/>
                <w:color w:val="000000"/>
              </w:rPr>
              <w:t> 1</w:t>
            </w:r>
            <w:r w:rsidR="005D795B">
              <w:rPr>
                <w:rFonts w:eastAsia="Times New Roman"/>
                <w:color w:val="000000"/>
              </w:rPr>
              <w:t>00 000 Kč</w:t>
            </w:r>
          </w:p>
        </w:tc>
      </w:tr>
      <w:tr w:rsidR="00AF0E0A" w:rsidRPr="00BA701F" w14:paraId="33A237F7" w14:textId="77777777" w:rsidTr="005C2C7A">
        <w:trPr>
          <w:trHeight w:val="576"/>
        </w:trPr>
        <w:tc>
          <w:tcPr>
            <w:tcW w:w="5398" w:type="dxa"/>
            <w:tcBorders>
              <w:top w:val="nil"/>
              <w:left w:val="single" w:sz="4" w:space="0" w:color="auto"/>
              <w:bottom w:val="single" w:sz="4" w:space="0" w:color="auto"/>
              <w:right w:val="single" w:sz="4" w:space="0" w:color="auto"/>
            </w:tcBorders>
            <w:shd w:val="clear" w:color="000000" w:fill="D9D9D9"/>
            <w:vAlign w:val="center"/>
          </w:tcPr>
          <w:p w14:paraId="3E612B72" w14:textId="509103AF" w:rsidR="00AF0E0A" w:rsidRPr="00BA701F" w:rsidRDefault="00AF0E0A" w:rsidP="00106376">
            <w:pPr>
              <w:spacing w:after="0"/>
              <w:jc w:val="left"/>
              <w:rPr>
                <w:rFonts w:eastAsia="Times New Roman"/>
                <w:b/>
                <w:bCs/>
                <w:color w:val="000000"/>
              </w:rPr>
            </w:pPr>
            <w:r>
              <w:rPr>
                <w:rFonts w:eastAsia="Times New Roman"/>
                <w:b/>
                <w:bCs/>
                <w:color w:val="000000"/>
              </w:rPr>
              <w:t>Režim podpory a Maximální výše celkových způsobilých výdajů projektu</w:t>
            </w:r>
          </w:p>
        </w:tc>
        <w:tc>
          <w:tcPr>
            <w:tcW w:w="5376" w:type="dxa"/>
            <w:tcBorders>
              <w:top w:val="nil"/>
              <w:left w:val="nil"/>
              <w:bottom w:val="single" w:sz="4" w:space="0" w:color="auto"/>
              <w:right w:val="single" w:sz="4" w:space="0" w:color="auto"/>
            </w:tcBorders>
            <w:shd w:val="clear" w:color="auto" w:fill="auto"/>
            <w:noWrap/>
            <w:vAlign w:val="center"/>
          </w:tcPr>
          <w:p w14:paraId="4313A246" w14:textId="08914311" w:rsidR="00840483" w:rsidRDefault="00840483" w:rsidP="00AF0E0A">
            <w:pPr>
              <w:spacing w:after="0"/>
              <w:jc w:val="left"/>
              <w:rPr>
                <w:rFonts w:eastAsia="Times New Roman"/>
                <w:color w:val="000000"/>
              </w:rPr>
            </w:pPr>
            <w:r>
              <w:rPr>
                <w:rFonts w:eastAsia="Times New Roman"/>
                <w:color w:val="000000"/>
              </w:rPr>
              <w:t>Žadatel má možnost výběru podpory v rámci dvou variant poskytnutí podpory:</w:t>
            </w:r>
          </w:p>
          <w:p w14:paraId="5F623C46" w14:textId="77777777" w:rsidR="00840483" w:rsidRPr="00840483" w:rsidRDefault="00840483" w:rsidP="00840483">
            <w:pPr>
              <w:pStyle w:val="Default"/>
              <w:rPr>
                <w:rFonts w:ascii="Arial" w:hAnsi="Arial" w:cs="Arial"/>
                <w:sz w:val="22"/>
                <w:szCs w:val="22"/>
              </w:rPr>
            </w:pPr>
            <w:r>
              <w:rPr>
                <w:rFonts w:eastAsia="Times New Roman"/>
              </w:rPr>
              <w:t></w:t>
            </w:r>
            <w:r>
              <w:rPr>
                <w:rFonts w:eastAsia="Times New Roman"/>
              </w:rPr>
              <w:t></w:t>
            </w:r>
            <w:r>
              <w:rPr>
                <w:rFonts w:eastAsia="Times New Roman"/>
              </w:rPr>
              <w:t></w:t>
            </w:r>
            <w:r w:rsidRPr="00840483">
              <w:rPr>
                <w:rFonts w:ascii="Calibri" w:eastAsia="Times New Roman" w:hAnsi="Calibri" w:cs="Calibri"/>
                <w:sz w:val="22"/>
                <w:szCs w:val="22"/>
                <w:lang w:eastAsia="cs-CZ"/>
              </w:rPr>
              <w:t>Projekty nezakládající veřejnou podporu ve smyslu čl. 107 odst. 1 Smlouvy o fungování Evropské unie</w:t>
            </w:r>
            <w:r w:rsidRPr="00840483">
              <w:rPr>
                <w:rFonts w:ascii="Arial" w:hAnsi="Arial" w:cs="Arial"/>
                <w:b/>
                <w:bCs/>
                <w:sz w:val="22"/>
                <w:szCs w:val="22"/>
              </w:rPr>
              <w:t xml:space="preserve"> </w:t>
            </w:r>
          </w:p>
          <w:p w14:paraId="47C6A7F6" w14:textId="20DCD192" w:rsidR="00840483" w:rsidRDefault="00840483" w:rsidP="00AF0E0A">
            <w:pPr>
              <w:spacing w:after="0"/>
              <w:jc w:val="left"/>
              <w:rPr>
                <w:rFonts w:eastAsia="Times New Roman"/>
                <w:color w:val="000000"/>
              </w:rPr>
            </w:pPr>
            <w:r>
              <w:rPr>
                <w:rFonts w:eastAsia="Times New Roman"/>
                <w:color w:val="000000"/>
              </w:rPr>
              <w:t xml:space="preserve">2) Projekty u nichž nelze jednoznačně vyloučit přítomnost veřejné podpory (Režim de </w:t>
            </w:r>
            <w:proofErr w:type="spellStart"/>
            <w:r>
              <w:rPr>
                <w:rFonts w:eastAsia="Times New Roman"/>
                <w:color w:val="000000"/>
              </w:rPr>
              <w:t>minimis</w:t>
            </w:r>
            <w:proofErr w:type="spellEnd"/>
            <w:r>
              <w:rPr>
                <w:rFonts w:eastAsia="Times New Roman"/>
                <w:color w:val="000000"/>
              </w:rPr>
              <w:t xml:space="preserve">). </w:t>
            </w:r>
          </w:p>
          <w:p w14:paraId="453BDE69" w14:textId="3F2D2C92" w:rsidR="00AF0E0A" w:rsidRPr="00AF0E0A" w:rsidRDefault="00AF0E0A" w:rsidP="00AF0E0A">
            <w:pPr>
              <w:spacing w:after="0"/>
              <w:jc w:val="left"/>
              <w:rPr>
                <w:rFonts w:eastAsia="Times New Roman"/>
                <w:color w:val="000000"/>
              </w:rPr>
            </w:pPr>
            <w:r w:rsidRPr="00AF0E0A">
              <w:rPr>
                <w:rFonts w:eastAsia="Times New Roman"/>
                <w:color w:val="000000"/>
              </w:rPr>
              <w:t xml:space="preserve">Maximální výše </w:t>
            </w:r>
            <w:r>
              <w:rPr>
                <w:rFonts w:eastAsia="Times New Roman"/>
                <w:color w:val="000000"/>
              </w:rPr>
              <w:t xml:space="preserve">podpory u projektů s režimem de </w:t>
            </w:r>
            <w:proofErr w:type="spellStart"/>
            <w:r w:rsidRPr="00AF0E0A">
              <w:rPr>
                <w:rFonts w:eastAsia="Times New Roman"/>
                <w:color w:val="000000"/>
              </w:rPr>
              <w:t>minimis</w:t>
            </w:r>
            <w:proofErr w:type="spellEnd"/>
            <w:r w:rsidRPr="00AF0E0A">
              <w:rPr>
                <w:rFonts w:eastAsia="Times New Roman"/>
                <w:color w:val="000000"/>
              </w:rPr>
              <w:t xml:space="preserve">: do výše </w:t>
            </w:r>
            <w:r>
              <w:rPr>
                <w:rFonts w:eastAsia="Times New Roman"/>
                <w:color w:val="000000"/>
              </w:rPr>
              <w:t xml:space="preserve">nevyčerpaného limitu podpory de </w:t>
            </w:r>
            <w:proofErr w:type="spellStart"/>
            <w:r w:rsidRPr="00AF0E0A">
              <w:rPr>
                <w:rFonts w:eastAsia="Times New Roman"/>
                <w:color w:val="000000"/>
              </w:rPr>
              <w:t>minimis</w:t>
            </w:r>
            <w:proofErr w:type="spellEnd"/>
            <w:r>
              <w:rPr>
                <w:rFonts w:eastAsia="Times New Roman"/>
                <w:color w:val="000000"/>
              </w:rPr>
              <w:t>.</w:t>
            </w:r>
          </w:p>
          <w:p w14:paraId="75DCD8D8" w14:textId="77777777" w:rsidR="00AF0E0A" w:rsidRDefault="00AF0E0A" w:rsidP="00AF0E0A">
            <w:pPr>
              <w:spacing w:after="0"/>
              <w:jc w:val="left"/>
              <w:rPr>
                <w:rFonts w:eastAsia="Times New Roman"/>
                <w:color w:val="000000"/>
              </w:rPr>
            </w:pPr>
            <w:r w:rsidRPr="00AF0E0A">
              <w:rPr>
                <w:rFonts w:eastAsia="Times New Roman"/>
                <w:color w:val="000000"/>
              </w:rPr>
              <w:t>Celkový součet</w:t>
            </w:r>
            <w:r>
              <w:rPr>
                <w:rFonts w:eastAsia="Times New Roman"/>
                <w:color w:val="000000"/>
              </w:rPr>
              <w:t xml:space="preserve"> podpor de </w:t>
            </w:r>
            <w:proofErr w:type="spellStart"/>
            <w:r>
              <w:rPr>
                <w:rFonts w:eastAsia="Times New Roman"/>
                <w:color w:val="000000"/>
              </w:rPr>
              <w:t>minimis</w:t>
            </w:r>
            <w:proofErr w:type="spellEnd"/>
            <w:r>
              <w:rPr>
                <w:rFonts w:eastAsia="Times New Roman"/>
                <w:color w:val="000000"/>
              </w:rPr>
              <w:t xml:space="preserve"> poskytnutých </w:t>
            </w:r>
            <w:r w:rsidRPr="00AF0E0A">
              <w:rPr>
                <w:rFonts w:eastAsia="Times New Roman"/>
                <w:color w:val="000000"/>
              </w:rPr>
              <w:t xml:space="preserve">jednomu příjemci </w:t>
            </w:r>
            <w:r>
              <w:rPr>
                <w:rFonts w:eastAsia="Times New Roman"/>
                <w:color w:val="000000"/>
              </w:rPr>
              <w:t xml:space="preserve">nesmí za předchozí dvě rozhodná </w:t>
            </w:r>
            <w:r w:rsidRPr="00AF0E0A">
              <w:rPr>
                <w:rFonts w:eastAsia="Times New Roman"/>
                <w:color w:val="000000"/>
              </w:rPr>
              <w:t>období (účetní obdo</w:t>
            </w:r>
            <w:r>
              <w:rPr>
                <w:rFonts w:eastAsia="Times New Roman"/>
                <w:color w:val="000000"/>
              </w:rPr>
              <w:t xml:space="preserve">bí nepřetržitě po sobě jdoucích </w:t>
            </w:r>
            <w:r w:rsidRPr="00AF0E0A">
              <w:rPr>
                <w:rFonts w:eastAsia="Times New Roman"/>
                <w:color w:val="000000"/>
              </w:rPr>
              <w:t>dvanáct měsíců) a v b</w:t>
            </w:r>
            <w:r>
              <w:rPr>
                <w:rFonts w:eastAsia="Times New Roman"/>
                <w:color w:val="000000"/>
              </w:rPr>
              <w:t xml:space="preserve">ěžném fiskálním roce přesáhnout </w:t>
            </w:r>
            <w:r w:rsidRPr="00AF0E0A">
              <w:rPr>
                <w:rFonts w:eastAsia="Times New Roman"/>
                <w:color w:val="000000"/>
              </w:rPr>
              <w:t>200 000 EUR.</w:t>
            </w:r>
          </w:p>
          <w:p w14:paraId="30CC95F9" w14:textId="6824718F" w:rsidR="005911BE" w:rsidRPr="00BA701F" w:rsidRDefault="005911BE" w:rsidP="00AF0E0A">
            <w:pPr>
              <w:spacing w:after="0"/>
              <w:jc w:val="left"/>
              <w:rPr>
                <w:rFonts w:eastAsia="Times New Roman"/>
                <w:color w:val="000000"/>
              </w:rPr>
            </w:pPr>
            <w:r>
              <w:rPr>
                <w:rFonts w:eastAsia="Times New Roman"/>
                <w:color w:val="000000"/>
              </w:rPr>
              <w:t>Výběr režimu podpory je blíže popsán v kapitole 7. Specifických pravidel pro žadatele a příjemce.</w:t>
            </w:r>
          </w:p>
        </w:tc>
      </w:tr>
      <w:tr w:rsidR="00753D29" w:rsidRPr="00BA701F" w14:paraId="7E8A61D8" w14:textId="77777777" w:rsidTr="005C2C7A">
        <w:trPr>
          <w:trHeight w:val="552"/>
        </w:trPr>
        <w:tc>
          <w:tcPr>
            <w:tcW w:w="539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4A86F1"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Forma podpory</w:t>
            </w:r>
          </w:p>
        </w:tc>
        <w:tc>
          <w:tcPr>
            <w:tcW w:w="5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B653" w14:textId="77777777" w:rsidR="00753D29" w:rsidRPr="00BA701F" w:rsidRDefault="00753D29" w:rsidP="005B1109">
            <w:pPr>
              <w:spacing w:after="0"/>
              <w:jc w:val="left"/>
              <w:rPr>
                <w:rFonts w:eastAsia="Times New Roman"/>
                <w:color w:val="000000"/>
              </w:rPr>
            </w:pPr>
            <w:r w:rsidRPr="00BA701F">
              <w:rPr>
                <w:rFonts w:eastAsia="Times New Roman"/>
                <w:color w:val="000000"/>
              </w:rPr>
              <w:t> </w:t>
            </w:r>
            <w:r w:rsidR="005D795B">
              <w:rPr>
                <w:rFonts w:eastAsia="Times New Roman"/>
                <w:color w:val="000000"/>
              </w:rPr>
              <w:t>Ex post financování</w:t>
            </w:r>
          </w:p>
        </w:tc>
      </w:tr>
      <w:tr w:rsidR="00753D29" w:rsidRPr="00BA701F" w14:paraId="000802F0" w14:textId="77777777" w:rsidTr="005C2C7A">
        <w:trPr>
          <w:trHeight w:val="288"/>
        </w:trPr>
        <w:tc>
          <w:tcPr>
            <w:tcW w:w="5398" w:type="dxa"/>
            <w:tcBorders>
              <w:top w:val="single" w:sz="4" w:space="0" w:color="auto"/>
              <w:left w:val="nil"/>
              <w:bottom w:val="nil"/>
              <w:right w:val="nil"/>
            </w:tcBorders>
            <w:shd w:val="clear" w:color="auto" w:fill="auto"/>
            <w:noWrap/>
            <w:vAlign w:val="bottom"/>
            <w:hideMark/>
          </w:tcPr>
          <w:p w14:paraId="1DD8978D" w14:textId="77777777" w:rsidR="00753D29" w:rsidRPr="00BA701F" w:rsidRDefault="00753D29" w:rsidP="00106376">
            <w:pPr>
              <w:spacing w:after="0"/>
              <w:jc w:val="left"/>
              <w:rPr>
                <w:rFonts w:eastAsia="Times New Roman"/>
                <w:color w:val="000000"/>
              </w:rPr>
            </w:pPr>
          </w:p>
        </w:tc>
        <w:tc>
          <w:tcPr>
            <w:tcW w:w="5376" w:type="dxa"/>
            <w:tcBorders>
              <w:top w:val="single" w:sz="4" w:space="0" w:color="auto"/>
              <w:left w:val="nil"/>
              <w:bottom w:val="nil"/>
              <w:right w:val="nil"/>
            </w:tcBorders>
            <w:shd w:val="clear" w:color="auto" w:fill="auto"/>
            <w:noWrap/>
            <w:vAlign w:val="bottom"/>
            <w:hideMark/>
          </w:tcPr>
          <w:p w14:paraId="193ACE46" w14:textId="77777777" w:rsidR="00753D29" w:rsidRPr="00BA701F" w:rsidRDefault="00753D29" w:rsidP="00106376">
            <w:pPr>
              <w:spacing w:after="0"/>
              <w:jc w:val="left"/>
              <w:rPr>
                <w:rFonts w:ascii="Times New Roman" w:eastAsia="Times New Roman" w:hAnsi="Times New Roman" w:cs="Times New Roman"/>
                <w:sz w:val="20"/>
                <w:szCs w:val="20"/>
              </w:rPr>
            </w:pPr>
          </w:p>
        </w:tc>
      </w:tr>
      <w:tr w:rsidR="00753D29" w:rsidRPr="00BA701F" w14:paraId="23BF54D4"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656ACF"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Zacílení podpory</w:t>
            </w:r>
          </w:p>
        </w:tc>
      </w:tr>
      <w:tr w:rsidR="00753D29" w:rsidRPr="00BA701F" w14:paraId="424C28ED" w14:textId="77777777" w:rsidTr="00377A4D">
        <w:trPr>
          <w:trHeight w:val="288"/>
        </w:trPr>
        <w:tc>
          <w:tcPr>
            <w:tcW w:w="5398" w:type="dxa"/>
            <w:vMerge w:val="restart"/>
            <w:tcBorders>
              <w:top w:val="nil"/>
              <w:left w:val="single" w:sz="4" w:space="0" w:color="auto"/>
              <w:bottom w:val="single" w:sz="4" w:space="0" w:color="auto"/>
              <w:right w:val="single" w:sz="4" w:space="0" w:color="auto"/>
            </w:tcBorders>
            <w:shd w:val="clear" w:color="000000" w:fill="D9D9D9"/>
            <w:vAlign w:val="center"/>
            <w:hideMark/>
          </w:tcPr>
          <w:p w14:paraId="7E261105"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Typy podporovaných projektů</w:t>
            </w:r>
          </w:p>
        </w:tc>
        <w:tc>
          <w:tcPr>
            <w:tcW w:w="5376" w:type="dxa"/>
            <w:vMerge w:val="restart"/>
            <w:tcBorders>
              <w:top w:val="nil"/>
              <w:left w:val="single" w:sz="4" w:space="0" w:color="auto"/>
              <w:bottom w:val="single" w:sz="4" w:space="0" w:color="auto"/>
              <w:right w:val="single" w:sz="4" w:space="0" w:color="auto"/>
            </w:tcBorders>
            <w:shd w:val="clear" w:color="auto" w:fill="auto"/>
            <w:noWrap/>
            <w:hideMark/>
          </w:tcPr>
          <w:p w14:paraId="4366F1BC" w14:textId="7FA853F6" w:rsidR="008876A1" w:rsidRPr="008876A1" w:rsidRDefault="008876A1" w:rsidP="008876A1">
            <w:pPr>
              <w:spacing w:after="0"/>
              <w:jc w:val="left"/>
              <w:rPr>
                <w:rStyle w:val="markedcontent"/>
                <w:rFonts w:asciiTheme="minorHAnsi" w:hAnsiTheme="minorHAnsi" w:cstheme="minorHAnsi"/>
              </w:rPr>
            </w:pPr>
            <w:r w:rsidRPr="008876A1">
              <w:rPr>
                <w:rStyle w:val="markedcontent"/>
                <w:rFonts w:asciiTheme="minorHAnsi" w:hAnsiTheme="minorHAnsi" w:cstheme="minorHAnsi"/>
              </w:rPr>
              <w:t xml:space="preserve">Veřejná infrastruktura udržitelného cestovního ruchu (dále také „CR“): </w:t>
            </w:r>
          </w:p>
          <w:p w14:paraId="5F548426" w14:textId="11129161"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t>-</w:t>
            </w:r>
            <w:r w:rsidR="008876A1" w:rsidRPr="008876A1">
              <w:rPr>
                <w:rStyle w:val="markedcontent"/>
                <w:rFonts w:asciiTheme="minorHAnsi" w:hAnsiTheme="minorHAnsi" w:cstheme="minorHAnsi"/>
              </w:rPr>
              <w:t xml:space="preserve"> budování a revitalizace doprovodné infrastruktury cestovního ruchu (např. odpočívadla, sociální zařízení, fyzické prvky navigačních systémů); </w:t>
            </w:r>
          </w:p>
          <w:p w14:paraId="485E9140" w14:textId="69393FCF"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t>-</w:t>
            </w:r>
            <w:r w:rsidR="008876A1" w:rsidRPr="008876A1">
              <w:rPr>
                <w:rStyle w:val="markedcontent"/>
                <w:rFonts w:asciiTheme="minorHAnsi" w:hAnsiTheme="minorHAnsi" w:cstheme="minorHAnsi"/>
              </w:rPr>
              <w:t xml:space="preserve"> budování páteřních, regionálních a lokálních turistických tras a revitalizace sítě značení; </w:t>
            </w:r>
          </w:p>
          <w:p w14:paraId="6EF73038" w14:textId="67209FF0"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t>-</w:t>
            </w:r>
            <w:r w:rsidR="008876A1" w:rsidRPr="008876A1">
              <w:rPr>
                <w:rStyle w:val="markedcontent"/>
                <w:rFonts w:asciiTheme="minorHAnsi" w:hAnsiTheme="minorHAnsi" w:cstheme="minorHAnsi"/>
              </w:rPr>
              <w:t xml:space="preserve"> propojená a otevřená IT řešení návštěvnického provozu a navigačních systémů měst a obcí; </w:t>
            </w:r>
          </w:p>
          <w:p w14:paraId="1C01CABC" w14:textId="2E35F858"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t>-</w:t>
            </w:r>
            <w:r w:rsidR="008876A1" w:rsidRPr="008876A1">
              <w:rPr>
                <w:rStyle w:val="markedcontent"/>
                <w:rFonts w:asciiTheme="minorHAnsi" w:hAnsiTheme="minorHAnsi" w:cstheme="minorHAnsi"/>
              </w:rPr>
              <w:t xml:space="preserve"> rekonstrukce stávajících a budování nových turistických informačních center; </w:t>
            </w:r>
          </w:p>
          <w:p w14:paraId="0BCB417A" w14:textId="6D90292E"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t>-</w:t>
            </w:r>
            <w:r w:rsidR="008876A1" w:rsidRPr="008876A1">
              <w:rPr>
                <w:rStyle w:val="markedcontent"/>
                <w:rFonts w:asciiTheme="minorHAnsi" w:hAnsiTheme="minorHAnsi" w:cstheme="minorHAnsi"/>
              </w:rPr>
              <w:t xml:space="preserve"> veřejná infrastruktura pro vodáckou a vodní turistiku / rekreační plavbu; </w:t>
            </w:r>
          </w:p>
          <w:p w14:paraId="0F9B9B1F" w14:textId="6B94EF65" w:rsidR="008876A1" w:rsidRPr="008876A1" w:rsidRDefault="009003E1" w:rsidP="008876A1">
            <w:pPr>
              <w:spacing w:after="0"/>
              <w:jc w:val="left"/>
              <w:rPr>
                <w:rStyle w:val="markedcontent"/>
                <w:rFonts w:asciiTheme="minorHAnsi" w:hAnsiTheme="minorHAnsi" w:cstheme="minorHAnsi"/>
              </w:rPr>
            </w:pPr>
            <w:r>
              <w:rPr>
                <w:rStyle w:val="markedcontent"/>
                <w:rFonts w:asciiTheme="minorHAnsi" w:hAnsiTheme="minorHAnsi" w:cstheme="minorHAnsi"/>
              </w:rPr>
              <w:lastRenderedPageBreak/>
              <w:t>-</w:t>
            </w:r>
            <w:r w:rsidR="008876A1" w:rsidRPr="008876A1">
              <w:rPr>
                <w:rStyle w:val="markedcontent"/>
                <w:rFonts w:asciiTheme="minorHAnsi" w:hAnsiTheme="minorHAnsi" w:cstheme="minorHAnsi"/>
              </w:rPr>
              <w:t xml:space="preserve"> parkoviště u atraktivit cestovního ruchu. </w:t>
            </w:r>
          </w:p>
          <w:p w14:paraId="5BBB35DF" w14:textId="3FDA4315" w:rsidR="008876A1" w:rsidRDefault="008876A1" w:rsidP="008876A1">
            <w:pPr>
              <w:spacing w:after="0"/>
              <w:jc w:val="left"/>
              <w:rPr>
                <w:rStyle w:val="markedcontent"/>
                <w:rFonts w:asciiTheme="minorHAnsi" w:hAnsiTheme="minorHAnsi" w:cstheme="minorHAnsi"/>
              </w:rPr>
            </w:pPr>
            <w:r w:rsidRPr="008876A1">
              <w:rPr>
                <w:rStyle w:val="markedcontent"/>
                <w:rFonts w:asciiTheme="minorHAnsi" w:hAnsiTheme="minorHAnsi" w:cstheme="minorHAnsi"/>
              </w:rPr>
              <w:t>Dílčí aktivity (</w:t>
            </w:r>
            <w:proofErr w:type="spellStart"/>
            <w:r w:rsidRPr="008876A1">
              <w:rPr>
                <w:rStyle w:val="markedcontent"/>
                <w:rFonts w:asciiTheme="minorHAnsi" w:hAnsiTheme="minorHAnsi" w:cstheme="minorHAnsi"/>
              </w:rPr>
              <w:t>podaktivity</w:t>
            </w:r>
            <w:proofErr w:type="spellEnd"/>
            <w:r w:rsidRPr="008876A1">
              <w:rPr>
                <w:rStyle w:val="markedcontent"/>
                <w:rFonts w:asciiTheme="minorHAnsi" w:hAnsiTheme="minorHAnsi" w:cstheme="minorHAnsi"/>
              </w:rPr>
              <w:t>) mohou být v projektu libovolně kombinovány.</w:t>
            </w:r>
          </w:p>
          <w:p w14:paraId="55AF5491" w14:textId="1D35B2E5" w:rsidR="008876A1" w:rsidRPr="00BA701F" w:rsidRDefault="008876A1" w:rsidP="008876A1">
            <w:pPr>
              <w:spacing w:after="0"/>
              <w:jc w:val="left"/>
              <w:rPr>
                <w:rFonts w:eastAsia="Times New Roman"/>
                <w:color w:val="000000"/>
              </w:rPr>
            </w:pPr>
            <w:r>
              <w:t xml:space="preserve">Ve výzvě nebudou </w:t>
            </w:r>
            <w:r w:rsidRPr="008876A1">
              <w:t xml:space="preserve">podporovány </w:t>
            </w:r>
            <w:r w:rsidRPr="008876A1">
              <w:rPr>
                <w:bCs/>
              </w:rPr>
              <w:t>podnikatelské aktivity.</w:t>
            </w:r>
            <w:r>
              <w:rPr>
                <w:b/>
                <w:bCs/>
              </w:rPr>
              <w:t xml:space="preserve"> </w:t>
            </w:r>
            <w:r>
              <w:t>Dále nebudou podporovány aktivity zaměřené na výstavbu, modernizaci a rekonstrukci rozhleden, lanovek, vleků, pláží, aquaparků, bazénů, umělých koupališť, golfových hřišť, skate parků, pump tracků, lanových center, půjčoven sportovních potřeb, ubytovacích a stravovacích zařízení, nákup vozidel. Dále nebudou podporovány parkovací domy.</w:t>
            </w:r>
          </w:p>
        </w:tc>
      </w:tr>
      <w:tr w:rsidR="00753D29" w:rsidRPr="00BA701F" w14:paraId="4BE57295" w14:textId="77777777" w:rsidTr="00377A4D">
        <w:trPr>
          <w:trHeight w:val="450"/>
        </w:trPr>
        <w:tc>
          <w:tcPr>
            <w:tcW w:w="5398" w:type="dxa"/>
            <w:vMerge/>
            <w:tcBorders>
              <w:top w:val="nil"/>
              <w:left w:val="single" w:sz="4" w:space="0" w:color="auto"/>
              <w:bottom w:val="single" w:sz="4" w:space="0" w:color="auto"/>
              <w:right w:val="single" w:sz="4" w:space="0" w:color="auto"/>
            </w:tcBorders>
            <w:vAlign w:val="center"/>
            <w:hideMark/>
          </w:tcPr>
          <w:p w14:paraId="7ECAD54D" w14:textId="77777777" w:rsidR="00753D29" w:rsidRPr="00BA701F" w:rsidRDefault="00753D29" w:rsidP="00106376">
            <w:pPr>
              <w:spacing w:after="0"/>
              <w:jc w:val="left"/>
              <w:rPr>
                <w:rFonts w:eastAsia="Times New Roman"/>
                <w:b/>
                <w:bCs/>
                <w:color w:val="000000"/>
              </w:rPr>
            </w:pPr>
          </w:p>
        </w:tc>
        <w:tc>
          <w:tcPr>
            <w:tcW w:w="5376" w:type="dxa"/>
            <w:vMerge/>
            <w:tcBorders>
              <w:top w:val="nil"/>
              <w:left w:val="single" w:sz="4" w:space="0" w:color="auto"/>
              <w:bottom w:val="single" w:sz="4" w:space="0" w:color="auto"/>
              <w:right w:val="single" w:sz="4" w:space="0" w:color="auto"/>
            </w:tcBorders>
            <w:hideMark/>
          </w:tcPr>
          <w:p w14:paraId="4665D692" w14:textId="77777777" w:rsidR="00753D29" w:rsidRPr="00BA701F" w:rsidRDefault="00753D29" w:rsidP="00377A4D">
            <w:pPr>
              <w:spacing w:after="0"/>
              <w:jc w:val="center"/>
              <w:rPr>
                <w:rFonts w:eastAsia="Times New Roman"/>
                <w:color w:val="000000"/>
              </w:rPr>
            </w:pPr>
          </w:p>
        </w:tc>
      </w:tr>
      <w:tr w:rsidR="00753D29" w:rsidRPr="00BA701F" w14:paraId="30810EF7" w14:textId="77777777" w:rsidTr="00377A4D">
        <w:trPr>
          <w:trHeight w:val="450"/>
        </w:trPr>
        <w:tc>
          <w:tcPr>
            <w:tcW w:w="5398" w:type="dxa"/>
            <w:vMerge/>
            <w:tcBorders>
              <w:top w:val="nil"/>
              <w:left w:val="single" w:sz="4" w:space="0" w:color="auto"/>
              <w:bottom w:val="single" w:sz="4" w:space="0" w:color="auto"/>
              <w:right w:val="single" w:sz="4" w:space="0" w:color="auto"/>
            </w:tcBorders>
            <w:vAlign w:val="center"/>
            <w:hideMark/>
          </w:tcPr>
          <w:p w14:paraId="3C69AC46" w14:textId="77777777" w:rsidR="00753D29" w:rsidRPr="00BA701F" w:rsidRDefault="00753D29" w:rsidP="00106376">
            <w:pPr>
              <w:spacing w:after="0"/>
              <w:jc w:val="left"/>
              <w:rPr>
                <w:rFonts w:eastAsia="Times New Roman"/>
                <w:b/>
                <w:bCs/>
                <w:color w:val="000000"/>
              </w:rPr>
            </w:pPr>
          </w:p>
        </w:tc>
        <w:tc>
          <w:tcPr>
            <w:tcW w:w="5376" w:type="dxa"/>
            <w:vMerge/>
            <w:tcBorders>
              <w:top w:val="nil"/>
              <w:left w:val="single" w:sz="4" w:space="0" w:color="auto"/>
              <w:bottom w:val="single" w:sz="4" w:space="0" w:color="auto"/>
              <w:right w:val="single" w:sz="4" w:space="0" w:color="auto"/>
            </w:tcBorders>
            <w:hideMark/>
          </w:tcPr>
          <w:p w14:paraId="3D02D3B8" w14:textId="77777777" w:rsidR="00753D29" w:rsidRPr="00BA701F" w:rsidRDefault="00753D29" w:rsidP="00377A4D">
            <w:pPr>
              <w:spacing w:after="0"/>
              <w:jc w:val="center"/>
              <w:rPr>
                <w:rFonts w:eastAsia="Times New Roman"/>
                <w:color w:val="000000"/>
              </w:rPr>
            </w:pPr>
          </w:p>
        </w:tc>
      </w:tr>
      <w:tr w:rsidR="00753D29" w:rsidRPr="00BA701F" w14:paraId="3D88993F" w14:textId="77777777" w:rsidTr="00377A4D">
        <w:trPr>
          <w:trHeight w:val="450"/>
        </w:trPr>
        <w:tc>
          <w:tcPr>
            <w:tcW w:w="5398" w:type="dxa"/>
            <w:vMerge/>
            <w:tcBorders>
              <w:top w:val="nil"/>
              <w:left w:val="single" w:sz="4" w:space="0" w:color="auto"/>
              <w:bottom w:val="single" w:sz="4" w:space="0" w:color="auto"/>
              <w:right w:val="single" w:sz="4" w:space="0" w:color="auto"/>
            </w:tcBorders>
            <w:vAlign w:val="center"/>
            <w:hideMark/>
          </w:tcPr>
          <w:p w14:paraId="6227DA64" w14:textId="77777777" w:rsidR="00753D29" w:rsidRPr="00BA701F" w:rsidRDefault="00753D29" w:rsidP="00106376">
            <w:pPr>
              <w:spacing w:after="0"/>
              <w:jc w:val="left"/>
              <w:rPr>
                <w:rFonts w:eastAsia="Times New Roman"/>
                <w:b/>
                <w:bCs/>
                <w:color w:val="000000"/>
              </w:rPr>
            </w:pPr>
          </w:p>
        </w:tc>
        <w:tc>
          <w:tcPr>
            <w:tcW w:w="5376" w:type="dxa"/>
            <w:vMerge/>
            <w:tcBorders>
              <w:top w:val="nil"/>
              <w:left w:val="single" w:sz="4" w:space="0" w:color="auto"/>
              <w:bottom w:val="single" w:sz="4" w:space="0" w:color="auto"/>
              <w:right w:val="single" w:sz="4" w:space="0" w:color="auto"/>
            </w:tcBorders>
            <w:hideMark/>
          </w:tcPr>
          <w:p w14:paraId="2DF2252A" w14:textId="77777777" w:rsidR="00753D29" w:rsidRPr="00BA701F" w:rsidRDefault="00753D29" w:rsidP="00377A4D">
            <w:pPr>
              <w:spacing w:after="0"/>
              <w:jc w:val="center"/>
              <w:rPr>
                <w:rFonts w:eastAsia="Times New Roman"/>
                <w:color w:val="000000"/>
              </w:rPr>
            </w:pPr>
          </w:p>
        </w:tc>
      </w:tr>
      <w:tr w:rsidR="00753D29" w:rsidRPr="00BA701F" w14:paraId="2C3BDA9B" w14:textId="77777777" w:rsidTr="00377A4D">
        <w:trPr>
          <w:trHeight w:val="450"/>
        </w:trPr>
        <w:tc>
          <w:tcPr>
            <w:tcW w:w="5398" w:type="dxa"/>
            <w:vMerge/>
            <w:tcBorders>
              <w:top w:val="nil"/>
              <w:left w:val="single" w:sz="4" w:space="0" w:color="auto"/>
              <w:bottom w:val="single" w:sz="4" w:space="0" w:color="auto"/>
              <w:right w:val="single" w:sz="4" w:space="0" w:color="auto"/>
            </w:tcBorders>
            <w:vAlign w:val="center"/>
            <w:hideMark/>
          </w:tcPr>
          <w:p w14:paraId="3C6BC953" w14:textId="77777777" w:rsidR="00753D29" w:rsidRPr="00BA701F" w:rsidRDefault="00753D29" w:rsidP="00106376">
            <w:pPr>
              <w:spacing w:after="0"/>
              <w:jc w:val="left"/>
              <w:rPr>
                <w:rFonts w:eastAsia="Times New Roman"/>
                <w:b/>
                <w:bCs/>
                <w:color w:val="000000"/>
              </w:rPr>
            </w:pPr>
          </w:p>
        </w:tc>
        <w:tc>
          <w:tcPr>
            <w:tcW w:w="5376" w:type="dxa"/>
            <w:vMerge/>
            <w:tcBorders>
              <w:top w:val="nil"/>
              <w:left w:val="single" w:sz="4" w:space="0" w:color="auto"/>
              <w:bottom w:val="single" w:sz="4" w:space="0" w:color="auto"/>
              <w:right w:val="single" w:sz="4" w:space="0" w:color="auto"/>
            </w:tcBorders>
            <w:hideMark/>
          </w:tcPr>
          <w:p w14:paraId="0E173AEA" w14:textId="77777777" w:rsidR="00753D29" w:rsidRPr="00BA701F" w:rsidRDefault="00753D29" w:rsidP="00377A4D">
            <w:pPr>
              <w:spacing w:after="0"/>
              <w:jc w:val="center"/>
              <w:rPr>
                <w:rFonts w:eastAsia="Times New Roman"/>
                <w:color w:val="000000"/>
              </w:rPr>
            </w:pPr>
          </w:p>
        </w:tc>
      </w:tr>
      <w:tr w:rsidR="00753D29" w:rsidRPr="00BA701F" w14:paraId="4BD102DA" w14:textId="77777777" w:rsidTr="004263FE">
        <w:trPr>
          <w:trHeight w:val="3034"/>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0F3E3D9C"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 xml:space="preserve">Území realizace </w:t>
            </w:r>
          </w:p>
        </w:tc>
        <w:tc>
          <w:tcPr>
            <w:tcW w:w="5376" w:type="dxa"/>
            <w:tcBorders>
              <w:top w:val="nil"/>
              <w:left w:val="nil"/>
              <w:bottom w:val="single" w:sz="4" w:space="0" w:color="auto"/>
              <w:right w:val="single" w:sz="4" w:space="0" w:color="auto"/>
            </w:tcBorders>
            <w:shd w:val="clear" w:color="auto" w:fill="auto"/>
            <w:noWrap/>
            <w:hideMark/>
          </w:tcPr>
          <w:p w14:paraId="61CE4038" w14:textId="77777777" w:rsidR="0041673B" w:rsidRDefault="0041673B" w:rsidP="0041673B">
            <w:pPr>
              <w:spacing w:after="0"/>
              <w:jc w:val="left"/>
              <w:rPr>
                <w:rStyle w:val="markedcontent"/>
                <w:rFonts w:asciiTheme="minorHAnsi" w:hAnsiTheme="minorHAnsi" w:cstheme="minorHAnsi"/>
              </w:rPr>
            </w:pPr>
            <w:r w:rsidRPr="0041673B">
              <w:rPr>
                <w:rStyle w:val="markedcontent"/>
                <w:rFonts w:asciiTheme="minorHAnsi" w:hAnsiTheme="minorHAnsi" w:cstheme="minorHAnsi"/>
              </w:rPr>
              <w:t xml:space="preserve">Místo realizace se musí </w:t>
            </w:r>
            <w:r>
              <w:rPr>
                <w:rStyle w:val="markedcontent"/>
                <w:rFonts w:asciiTheme="minorHAnsi" w:hAnsiTheme="minorHAnsi" w:cstheme="minorHAnsi"/>
              </w:rPr>
              <w:t xml:space="preserve">nacházet na území MAS </w:t>
            </w:r>
            <w:r w:rsidRPr="0041673B">
              <w:rPr>
                <w:rStyle w:val="markedcontent"/>
                <w:rFonts w:asciiTheme="minorHAnsi" w:hAnsiTheme="minorHAnsi" w:cstheme="minorHAnsi"/>
              </w:rPr>
              <w:t>vymezeném ve schválené strategii CLLD</w:t>
            </w:r>
            <w:r>
              <w:rPr>
                <w:rStyle w:val="markedcontent"/>
                <w:rFonts w:asciiTheme="minorHAnsi" w:hAnsiTheme="minorHAnsi" w:cstheme="minorHAnsi"/>
              </w:rPr>
              <w:t xml:space="preserve"> – </w:t>
            </w:r>
            <w:hyperlink r:id="rId8" w:history="1">
              <w:r w:rsidRPr="0041673B">
                <w:rPr>
                  <w:rStyle w:val="Hypertextovodkaz"/>
                  <w:rFonts w:asciiTheme="minorHAnsi" w:hAnsiTheme="minorHAnsi" w:cstheme="minorHAnsi"/>
                </w:rPr>
                <w:t>Odkaz</w:t>
              </w:r>
            </w:hyperlink>
            <w:r>
              <w:rPr>
                <w:rStyle w:val="markedcontent"/>
                <w:rFonts w:asciiTheme="minorHAnsi" w:hAnsiTheme="minorHAnsi" w:cstheme="minorHAnsi"/>
              </w:rPr>
              <w:t>.</w:t>
            </w:r>
          </w:p>
          <w:p w14:paraId="3204139E" w14:textId="77777777" w:rsidR="00B71C3B" w:rsidRDefault="0041673B" w:rsidP="0041673B">
            <w:pPr>
              <w:spacing w:after="0"/>
              <w:jc w:val="left"/>
              <w:rPr>
                <w:rStyle w:val="markedcontent"/>
                <w:rFonts w:asciiTheme="minorHAnsi" w:hAnsiTheme="minorHAnsi" w:cstheme="minorHAnsi"/>
              </w:rPr>
            </w:pPr>
            <w:r w:rsidRPr="0041673B">
              <w:rPr>
                <w:rStyle w:val="markedcontent"/>
                <w:rFonts w:asciiTheme="minorHAnsi" w:hAnsiTheme="minorHAnsi" w:cstheme="minorHAnsi"/>
              </w:rPr>
              <w:t>Místem realizace se rozumí obec (město), kde probíhá / bude probíhat fyzická realizace</w:t>
            </w:r>
            <w:r>
              <w:rPr>
                <w:rFonts w:asciiTheme="minorHAnsi" w:hAnsiTheme="minorHAnsi" w:cstheme="minorHAnsi"/>
              </w:rPr>
              <w:t xml:space="preserve"> </w:t>
            </w:r>
            <w:r w:rsidRPr="0041673B">
              <w:rPr>
                <w:rStyle w:val="markedcontent"/>
                <w:rFonts w:asciiTheme="minorHAnsi" w:hAnsiTheme="minorHAnsi" w:cstheme="minorHAnsi"/>
              </w:rPr>
              <w:t>projektu, kde vznikají / budou vznikat výstupy projektu.</w:t>
            </w:r>
          </w:p>
          <w:p w14:paraId="542C0D31" w14:textId="77777777" w:rsidR="005D546E" w:rsidRDefault="00B71C3B" w:rsidP="0041673B">
            <w:pPr>
              <w:spacing w:after="0"/>
              <w:jc w:val="left"/>
              <w:rPr>
                <w:rStyle w:val="markedcontent"/>
                <w:rFonts w:asciiTheme="minorHAnsi" w:hAnsiTheme="minorHAnsi" w:cstheme="minorHAnsi"/>
              </w:rPr>
            </w:pPr>
            <w:r w:rsidRPr="00B71C3B">
              <w:rPr>
                <w:rStyle w:val="markedcontent"/>
                <w:rFonts w:asciiTheme="minorHAnsi" w:hAnsiTheme="minorHAnsi" w:cstheme="minorHAnsi"/>
              </w:rPr>
              <w:t xml:space="preserve">Žadatel jako místo realizace uvede Katastrální území obce, na jejichž území bude realizována výstavba, rekonstrukce či pořízení prvků veřejné infrastruktury cestovního ruchu, která je předmětem projektu a parcelní číslo </w:t>
            </w:r>
            <w:r w:rsidR="007D775B">
              <w:rPr>
                <w:rStyle w:val="markedcontent"/>
                <w:rFonts w:asciiTheme="minorHAnsi" w:hAnsiTheme="minorHAnsi" w:cstheme="minorHAnsi"/>
              </w:rPr>
              <w:t xml:space="preserve">příslušné parcely, kde </w:t>
            </w:r>
            <w:r w:rsidR="007D775B" w:rsidRPr="007D775B">
              <w:rPr>
                <w:rStyle w:val="markedcontent"/>
                <w:rFonts w:asciiTheme="minorHAnsi" w:hAnsiTheme="minorHAnsi" w:cstheme="minorHAnsi"/>
              </w:rPr>
              <w:t>bude realizována výstavba, rekonstrukce či pořízení prvků veřejné infrastruktury cestovního ruchu</w:t>
            </w:r>
            <w:r w:rsidR="007D775B">
              <w:rPr>
                <w:rStyle w:val="markedcontent"/>
                <w:rFonts w:asciiTheme="minorHAnsi" w:hAnsiTheme="minorHAnsi" w:cstheme="minorHAnsi"/>
              </w:rPr>
              <w:t>.</w:t>
            </w:r>
            <w:r w:rsidR="0041673B" w:rsidRPr="007D775B">
              <w:rPr>
                <w:rStyle w:val="markedcontent"/>
              </w:rPr>
              <w:br/>
            </w:r>
            <w:r w:rsidR="0041673B" w:rsidRPr="0041673B">
              <w:rPr>
                <w:rStyle w:val="markedcontent"/>
                <w:rFonts w:asciiTheme="minorHAnsi" w:hAnsiTheme="minorHAnsi" w:cstheme="minorHAnsi"/>
              </w:rPr>
              <w:t>Za místo realizace se nepovažuje území dopadu, území, které má benefity z realizace dané</w:t>
            </w:r>
            <w:r w:rsidR="0041673B">
              <w:rPr>
                <w:rFonts w:asciiTheme="minorHAnsi" w:hAnsiTheme="minorHAnsi" w:cstheme="minorHAnsi"/>
              </w:rPr>
              <w:t xml:space="preserve"> </w:t>
            </w:r>
            <w:r w:rsidR="0041673B" w:rsidRPr="0041673B">
              <w:rPr>
                <w:rStyle w:val="markedcontent"/>
                <w:rFonts w:asciiTheme="minorHAnsi" w:hAnsiTheme="minorHAnsi" w:cstheme="minorHAnsi"/>
              </w:rPr>
              <w:t>intervence v daném místě realizace, ani spádové území či působnost dané instituce apod.</w:t>
            </w:r>
          </w:p>
          <w:p w14:paraId="720FB21C" w14:textId="1BF0CD49" w:rsidR="00B71C3B" w:rsidRDefault="00DD3368" w:rsidP="0041673B">
            <w:pPr>
              <w:spacing w:after="0"/>
              <w:jc w:val="left"/>
              <w:rPr>
                <w:rStyle w:val="markedcontent"/>
                <w:rFonts w:asciiTheme="minorHAnsi" w:hAnsiTheme="minorHAnsi" w:cstheme="minorHAnsi"/>
              </w:rPr>
            </w:pPr>
            <w:r>
              <w:rPr>
                <w:rStyle w:val="markedcontent"/>
                <w:rFonts w:asciiTheme="minorHAnsi" w:hAnsiTheme="minorHAnsi" w:cstheme="minorHAnsi"/>
              </w:rPr>
              <w:t xml:space="preserve">Jako povinnou přílohu k místům realizace žadatel doloží </w:t>
            </w:r>
            <w:r>
              <w:rPr>
                <w:rFonts w:eastAsia="Times New Roman"/>
                <w:color w:val="000000"/>
              </w:rPr>
              <w:t>zaznačení místa realizace v katastrální mapě.</w:t>
            </w:r>
            <w:r w:rsidR="005D546E">
              <w:rPr>
                <w:rFonts w:eastAsia="Times New Roman"/>
                <w:color w:val="000000"/>
              </w:rPr>
              <w:t xml:space="preserve"> Z mapy musí být zřejmé - </w:t>
            </w:r>
            <w:r w:rsidR="005D546E" w:rsidRPr="005D546E">
              <w:rPr>
                <w:rFonts w:ascii="Arial" w:hAnsi="Arial" w:cs="Arial"/>
                <w:iCs/>
                <w:sz w:val="20"/>
              </w:rPr>
              <w:t>katastrální území obce, na jejichž území bude realizována výstavba, rekonstrukce či pořízení prvků veřejné infrastruktury cestovního ruchu, která je předmětem projektu a parcelní číslo příslušné parcely.</w:t>
            </w:r>
          </w:p>
          <w:p w14:paraId="1484F5A9" w14:textId="1AF037BD" w:rsidR="0041673B" w:rsidRPr="004263FE" w:rsidRDefault="0041673B" w:rsidP="0041673B">
            <w:pPr>
              <w:spacing w:after="0"/>
              <w:jc w:val="left"/>
              <w:rPr>
                <w:rFonts w:asciiTheme="minorHAnsi" w:hAnsiTheme="minorHAnsi" w:cstheme="minorHAnsi"/>
              </w:rPr>
            </w:pPr>
            <w:r>
              <w:rPr>
                <w:rStyle w:val="markedcontent"/>
                <w:rFonts w:asciiTheme="minorHAnsi" w:hAnsiTheme="minorHAnsi" w:cstheme="minorHAnsi"/>
              </w:rPr>
              <w:t xml:space="preserve">Územní působnost MAS: </w:t>
            </w:r>
            <w:hyperlink r:id="rId9" w:history="1">
              <w:r w:rsidRPr="0069367E">
                <w:rPr>
                  <w:rStyle w:val="Hypertextovodkaz"/>
                  <w:rFonts w:asciiTheme="minorHAnsi" w:hAnsiTheme="minorHAnsi" w:cstheme="minorHAnsi"/>
                </w:rPr>
                <w:t>https://www.kyjovske-slovacko.com/cs/mapy-uzemi</w:t>
              </w:r>
            </w:hyperlink>
          </w:p>
        </w:tc>
      </w:tr>
      <w:tr w:rsidR="00753D29" w:rsidRPr="00BA701F" w14:paraId="6A9E5DD3" w14:textId="77777777" w:rsidTr="00BA1720">
        <w:trPr>
          <w:trHeight w:val="696"/>
        </w:trPr>
        <w:tc>
          <w:tcPr>
            <w:tcW w:w="539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67305A"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Oprávnění žadatelé</w:t>
            </w:r>
          </w:p>
        </w:tc>
        <w:tc>
          <w:tcPr>
            <w:tcW w:w="5376" w:type="dxa"/>
            <w:tcBorders>
              <w:top w:val="single" w:sz="4" w:space="0" w:color="auto"/>
              <w:left w:val="nil"/>
              <w:bottom w:val="single" w:sz="4" w:space="0" w:color="auto"/>
              <w:right w:val="single" w:sz="4" w:space="0" w:color="auto"/>
            </w:tcBorders>
            <w:shd w:val="clear" w:color="auto" w:fill="auto"/>
            <w:noWrap/>
            <w:hideMark/>
          </w:tcPr>
          <w:p w14:paraId="0D1F20CD" w14:textId="6F41316A" w:rsidR="00BB32B1" w:rsidRPr="00BB32B1" w:rsidRDefault="00BB32B1" w:rsidP="00BB32B1">
            <w:pPr>
              <w:autoSpaceDE w:val="0"/>
              <w:autoSpaceDN w:val="0"/>
              <w:adjustRightInd w:val="0"/>
              <w:spacing w:after="62"/>
              <w:jc w:val="left"/>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Oprávnění žadatele:</w:t>
            </w:r>
          </w:p>
          <w:p w14:paraId="7FB2599D" w14:textId="63995A03"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obce </w:t>
            </w:r>
          </w:p>
          <w:p w14:paraId="7824E0F4" w14:textId="5B4F30A0"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dobrovolné svazky obcí </w:t>
            </w:r>
          </w:p>
          <w:p w14:paraId="39D6F9D6" w14:textId="125DF5AF"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kraje </w:t>
            </w:r>
          </w:p>
          <w:p w14:paraId="073B50B3" w14:textId="41892D6C"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organizace zřizované nebo zakládané obcemi/kraji </w:t>
            </w:r>
          </w:p>
          <w:p w14:paraId="0993A139" w14:textId="0328D888"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OSS </w:t>
            </w:r>
          </w:p>
          <w:p w14:paraId="7F9CB20A" w14:textId="2872F055"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PO OSS </w:t>
            </w:r>
          </w:p>
          <w:p w14:paraId="39671B86" w14:textId="2A44FA97"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NNO činné v oblasti cestovního ruchu minimálně 2 roky </w:t>
            </w:r>
          </w:p>
          <w:p w14:paraId="4397C11E" w14:textId="337BC5EA"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církve </w:t>
            </w:r>
          </w:p>
          <w:p w14:paraId="2FD862C8" w14:textId="342BD69A" w:rsidR="006A4599" w:rsidRPr="006A459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církevní organizace </w:t>
            </w:r>
          </w:p>
          <w:p w14:paraId="3B626ED1" w14:textId="77777777" w:rsidR="00753D29" w:rsidRDefault="006A4599" w:rsidP="006A4599">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6A4599">
              <w:rPr>
                <w:rFonts w:asciiTheme="minorHAnsi" w:eastAsiaTheme="minorHAnsi" w:hAnsiTheme="minorHAnsi" w:cstheme="minorHAnsi"/>
                <w:color w:val="000000"/>
                <w:lang w:eastAsia="en-US"/>
              </w:rPr>
              <w:t xml:space="preserve">státní podnik </w:t>
            </w:r>
          </w:p>
          <w:p w14:paraId="0FD49D2C" w14:textId="57A1EC89" w:rsidR="007F45C5" w:rsidRPr="007F45C5" w:rsidRDefault="007F45C5" w:rsidP="007F45C5">
            <w:pPr>
              <w:autoSpaceDE w:val="0"/>
              <w:autoSpaceDN w:val="0"/>
              <w:adjustRightInd w:val="0"/>
              <w:spacing w:after="62"/>
              <w:jc w:val="left"/>
              <w:rPr>
                <w:rFonts w:asciiTheme="minorHAnsi" w:eastAsiaTheme="minorHAnsi" w:hAnsiTheme="minorHAnsi" w:cstheme="minorHAnsi"/>
                <w:color w:val="000000"/>
                <w:lang w:eastAsia="en-US"/>
              </w:rPr>
            </w:pPr>
            <w:r>
              <w:t>Žadatel či osoby ovládající právnickou osobu žadatele nesmí být evidováni na sankčním seznamu / rejstříku EU v kategorii finančních sankcí.</w:t>
            </w:r>
          </w:p>
        </w:tc>
      </w:tr>
      <w:tr w:rsidR="00753D29" w:rsidRPr="00BA701F" w14:paraId="73DE90AA" w14:textId="77777777" w:rsidTr="00377A4D">
        <w:trPr>
          <w:trHeight w:val="696"/>
        </w:trPr>
        <w:tc>
          <w:tcPr>
            <w:tcW w:w="539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2545F"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lastRenderedPageBreak/>
              <w:t>Cílová skupina</w:t>
            </w:r>
          </w:p>
        </w:tc>
        <w:tc>
          <w:tcPr>
            <w:tcW w:w="5376" w:type="dxa"/>
            <w:tcBorders>
              <w:top w:val="single" w:sz="4" w:space="0" w:color="auto"/>
              <w:left w:val="nil"/>
              <w:bottom w:val="single" w:sz="4" w:space="0" w:color="auto"/>
              <w:right w:val="single" w:sz="4" w:space="0" w:color="auto"/>
            </w:tcBorders>
            <w:shd w:val="clear" w:color="auto" w:fill="auto"/>
            <w:noWrap/>
            <w:hideMark/>
          </w:tcPr>
          <w:p w14:paraId="1AEBAFDC" w14:textId="77777777" w:rsidR="00295FFC" w:rsidRPr="00295FFC" w:rsidRDefault="00295FFC" w:rsidP="00295FFC">
            <w:pPr>
              <w:autoSpaceDE w:val="0"/>
              <w:autoSpaceDN w:val="0"/>
              <w:adjustRightInd w:val="0"/>
              <w:spacing w:after="0"/>
              <w:jc w:val="left"/>
              <w:rPr>
                <w:rFonts w:asciiTheme="minorHAnsi" w:eastAsiaTheme="minorHAnsi" w:hAnsiTheme="minorHAnsi" w:cstheme="minorHAnsi"/>
                <w:color w:val="000000"/>
                <w:lang w:eastAsia="en-US"/>
              </w:rPr>
            </w:pPr>
            <w:r w:rsidRPr="00295FFC">
              <w:rPr>
                <w:rFonts w:asciiTheme="minorHAnsi" w:eastAsiaTheme="minorHAnsi" w:hAnsiTheme="minorHAnsi" w:cstheme="minorHAnsi"/>
                <w:color w:val="000000"/>
                <w:lang w:eastAsia="en-US"/>
              </w:rPr>
              <w:t xml:space="preserve">Obyvatelé a subjekty působící na území působnosti MAS a návštěvníci území působnosti MAS: </w:t>
            </w:r>
          </w:p>
          <w:p w14:paraId="62572179" w14:textId="329168C7"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účastníci cestovního ruchu </w:t>
            </w:r>
          </w:p>
          <w:p w14:paraId="43ABFA5F" w14:textId="5C2F87AB"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obyvatelé </w:t>
            </w:r>
          </w:p>
          <w:p w14:paraId="37B0D911" w14:textId="696C4586"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odborná veřejnost </w:t>
            </w:r>
          </w:p>
          <w:p w14:paraId="168430C1" w14:textId="046CCBD8"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podnikatelské subjekty </w:t>
            </w:r>
          </w:p>
          <w:p w14:paraId="684F0BD7" w14:textId="172A6FEF"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uprchlíci, migranti </w:t>
            </w:r>
          </w:p>
          <w:p w14:paraId="3B862BFF" w14:textId="31182B85"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národnostní skupiny (zejména Romové) </w:t>
            </w:r>
          </w:p>
          <w:p w14:paraId="255296E7" w14:textId="641C9929" w:rsidR="0073753C" w:rsidRPr="0073753C" w:rsidRDefault="0073753C" w:rsidP="0073753C">
            <w:pPr>
              <w:pStyle w:val="Odstavecseseznamem"/>
              <w:numPr>
                <w:ilvl w:val="0"/>
                <w:numId w:val="1"/>
              </w:numPr>
              <w:autoSpaceDE w:val="0"/>
              <w:autoSpaceDN w:val="0"/>
              <w:adjustRightInd w:val="0"/>
              <w:spacing w:after="62"/>
              <w:jc w:val="left"/>
              <w:rPr>
                <w:rFonts w:asciiTheme="minorHAnsi" w:eastAsiaTheme="minorHAnsi" w:hAnsiTheme="minorHAnsi" w:cstheme="minorHAnsi"/>
                <w:color w:val="000000"/>
                <w:lang w:eastAsia="en-US"/>
              </w:rPr>
            </w:pPr>
            <w:r w:rsidRPr="0073753C">
              <w:rPr>
                <w:rFonts w:asciiTheme="minorHAnsi" w:eastAsiaTheme="minorHAnsi" w:hAnsiTheme="minorHAnsi" w:cstheme="minorHAnsi"/>
                <w:color w:val="000000"/>
                <w:lang w:eastAsia="en-US"/>
              </w:rPr>
              <w:t xml:space="preserve">osoby se zdravotním postižením </w:t>
            </w:r>
          </w:p>
          <w:p w14:paraId="21FCA1F9" w14:textId="6C73D769" w:rsidR="00753D29" w:rsidRPr="00BA701F" w:rsidRDefault="0073753C" w:rsidP="0073753C">
            <w:pPr>
              <w:spacing w:after="0"/>
              <w:jc w:val="center"/>
              <w:rPr>
                <w:rFonts w:eastAsia="Times New Roman"/>
                <w:color w:val="000000"/>
              </w:rPr>
            </w:pPr>
            <w:r w:rsidRPr="00BA701F">
              <w:rPr>
                <w:rFonts w:eastAsia="Times New Roman"/>
                <w:color w:val="000000"/>
              </w:rPr>
              <w:t xml:space="preserve"> </w:t>
            </w:r>
          </w:p>
        </w:tc>
      </w:tr>
      <w:tr w:rsidR="00753D29" w:rsidRPr="00BA701F" w14:paraId="1BD742DA" w14:textId="77777777" w:rsidTr="00106376">
        <w:trPr>
          <w:trHeight w:val="288"/>
        </w:trPr>
        <w:tc>
          <w:tcPr>
            <w:tcW w:w="5398" w:type="dxa"/>
            <w:tcBorders>
              <w:top w:val="nil"/>
              <w:left w:val="nil"/>
              <w:bottom w:val="nil"/>
              <w:right w:val="nil"/>
            </w:tcBorders>
            <w:shd w:val="clear" w:color="auto" w:fill="auto"/>
            <w:noWrap/>
            <w:vAlign w:val="bottom"/>
            <w:hideMark/>
          </w:tcPr>
          <w:p w14:paraId="3C60C757" w14:textId="77777777" w:rsidR="00753D29" w:rsidRPr="00BA701F" w:rsidRDefault="00753D29" w:rsidP="00106376">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3DD6D10F" w14:textId="77777777" w:rsidR="00753D29" w:rsidRDefault="00753D29" w:rsidP="00106376">
            <w:pPr>
              <w:spacing w:after="0"/>
              <w:jc w:val="left"/>
              <w:rPr>
                <w:rFonts w:ascii="Times New Roman" w:eastAsia="Times New Roman" w:hAnsi="Times New Roman" w:cs="Times New Roman"/>
                <w:sz w:val="20"/>
                <w:szCs w:val="20"/>
              </w:rPr>
            </w:pPr>
          </w:p>
          <w:p w14:paraId="42EAAEED" w14:textId="77777777" w:rsidR="00F875C0" w:rsidRDefault="00F875C0" w:rsidP="00106376">
            <w:pPr>
              <w:spacing w:after="0"/>
              <w:jc w:val="left"/>
              <w:rPr>
                <w:rFonts w:ascii="Times New Roman" w:eastAsia="Times New Roman" w:hAnsi="Times New Roman" w:cs="Times New Roman"/>
                <w:sz w:val="20"/>
                <w:szCs w:val="20"/>
              </w:rPr>
            </w:pPr>
          </w:p>
          <w:p w14:paraId="464986E1" w14:textId="77777777" w:rsidR="00F875C0" w:rsidRDefault="00F875C0" w:rsidP="00106376">
            <w:pPr>
              <w:spacing w:after="0"/>
              <w:jc w:val="left"/>
              <w:rPr>
                <w:rFonts w:ascii="Times New Roman" w:eastAsia="Times New Roman" w:hAnsi="Times New Roman" w:cs="Times New Roman"/>
                <w:sz w:val="20"/>
                <w:szCs w:val="20"/>
              </w:rPr>
            </w:pPr>
          </w:p>
          <w:p w14:paraId="67CC1890" w14:textId="4045869A" w:rsidR="00F875C0" w:rsidRPr="00BA701F" w:rsidRDefault="00F875C0" w:rsidP="00106376">
            <w:pPr>
              <w:spacing w:after="0"/>
              <w:jc w:val="left"/>
              <w:rPr>
                <w:rFonts w:ascii="Times New Roman" w:eastAsia="Times New Roman" w:hAnsi="Times New Roman" w:cs="Times New Roman"/>
                <w:sz w:val="20"/>
                <w:szCs w:val="20"/>
              </w:rPr>
            </w:pPr>
          </w:p>
        </w:tc>
      </w:tr>
      <w:tr w:rsidR="00753D29" w:rsidRPr="00BA701F" w14:paraId="3E5DB89F"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C2C664F"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Věcné zaměření</w:t>
            </w:r>
          </w:p>
        </w:tc>
      </w:tr>
      <w:tr w:rsidR="00753D29" w:rsidRPr="00BA701F" w14:paraId="3D23ED36" w14:textId="77777777" w:rsidTr="00D7257E">
        <w:trPr>
          <w:trHeight w:val="1941"/>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2C807006" w14:textId="77777777" w:rsidR="00753D29" w:rsidRPr="00BA701F" w:rsidRDefault="00753D29" w:rsidP="00106376">
            <w:pPr>
              <w:spacing w:after="0"/>
              <w:jc w:val="left"/>
              <w:rPr>
                <w:rFonts w:eastAsia="Times New Roman"/>
                <w:b/>
                <w:bCs/>
                <w:color w:val="000000"/>
              </w:rPr>
            </w:pPr>
            <w:r w:rsidRPr="00BA701F">
              <w:rPr>
                <w:rFonts w:eastAsia="Times New Roman"/>
                <w:b/>
                <w:bCs/>
                <w:color w:val="000000"/>
              </w:rPr>
              <w:t>Indikátory</w:t>
            </w:r>
          </w:p>
        </w:tc>
        <w:tc>
          <w:tcPr>
            <w:tcW w:w="5376" w:type="dxa"/>
            <w:tcBorders>
              <w:top w:val="nil"/>
              <w:left w:val="nil"/>
              <w:bottom w:val="single" w:sz="4" w:space="0" w:color="auto"/>
              <w:right w:val="single" w:sz="4" w:space="0" w:color="auto"/>
            </w:tcBorders>
            <w:shd w:val="clear" w:color="auto" w:fill="auto"/>
            <w:noWrap/>
            <w:vAlign w:val="center"/>
            <w:hideMark/>
          </w:tcPr>
          <w:p w14:paraId="56565BDD" w14:textId="6779C5FA" w:rsidR="00753D29" w:rsidRDefault="00AC1DC6" w:rsidP="00D7257E">
            <w:pPr>
              <w:spacing w:after="0"/>
              <w:jc w:val="left"/>
              <w:rPr>
                <w:rFonts w:eastAsia="Times New Roman"/>
                <w:color w:val="000000"/>
              </w:rPr>
            </w:pPr>
            <w:r>
              <w:rPr>
                <w:rFonts w:eastAsia="Times New Roman"/>
                <w:color w:val="000000"/>
              </w:rPr>
              <w:t>Informace k indikátorům jsou obsaženy v Obecných a Specifických pravidlech výzvy ŘO IROP. Konkrétní popis jednotliv</w:t>
            </w:r>
            <w:r w:rsidR="00513403">
              <w:rPr>
                <w:rFonts w:eastAsia="Times New Roman"/>
                <w:color w:val="000000"/>
              </w:rPr>
              <w:t>ých indikátorů je přílohou č. 1.</w:t>
            </w:r>
            <w:r>
              <w:rPr>
                <w:rFonts w:eastAsia="Times New Roman"/>
                <w:color w:val="000000"/>
              </w:rPr>
              <w:t xml:space="preserve"> Specifických pravidel pro žadatele a příjemce. </w:t>
            </w:r>
          </w:p>
          <w:p w14:paraId="4A0F0447" w14:textId="77777777" w:rsidR="00AC1DC6" w:rsidRPr="00BA701F" w:rsidRDefault="009D7659" w:rsidP="00D7257E">
            <w:pPr>
              <w:spacing w:after="0"/>
              <w:jc w:val="left"/>
              <w:rPr>
                <w:rFonts w:eastAsia="Times New Roman"/>
                <w:color w:val="000000"/>
              </w:rPr>
            </w:pPr>
            <w:r>
              <w:rPr>
                <w:rFonts w:eastAsia="Times New Roman"/>
                <w:color w:val="000000"/>
              </w:rPr>
              <w:t>Žadatel je povinen vybrat relevantní indikátory pro realizovanou aktivitu.</w:t>
            </w:r>
          </w:p>
        </w:tc>
      </w:tr>
      <w:tr w:rsidR="004E1A59" w:rsidRPr="00BA701F" w14:paraId="0EBCAE95" w14:textId="77777777" w:rsidTr="00D7257E">
        <w:trPr>
          <w:trHeight w:val="3542"/>
        </w:trPr>
        <w:tc>
          <w:tcPr>
            <w:tcW w:w="5398" w:type="dxa"/>
            <w:tcBorders>
              <w:top w:val="single" w:sz="4" w:space="0" w:color="auto"/>
              <w:left w:val="single" w:sz="4" w:space="0" w:color="auto"/>
              <w:bottom w:val="single" w:sz="4" w:space="0" w:color="auto"/>
              <w:right w:val="single" w:sz="4" w:space="0" w:color="auto"/>
            </w:tcBorders>
            <w:shd w:val="clear" w:color="000000" w:fill="D9D9D9"/>
            <w:vAlign w:val="center"/>
          </w:tcPr>
          <w:p w14:paraId="72588A31" w14:textId="3053A25D" w:rsidR="004E1A59" w:rsidRPr="00BA701F" w:rsidRDefault="00A241C2" w:rsidP="00106376">
            <w:pPr>
              <w:spacing w:after="0"/>
              <w:jc w:val="left"/>
              <w:rPr>
                <w:rFonts w:eastAsia="Times New Roman"/>
                <w:b/>
                <w:bCs/>
                <w:color w:val="000000"/>
              </w:rPr>
            </w:pPr>
            <w:r>
              <w:rPr>
                <w:rFonts w:eastAsia="Times New Roman"/>
                <w:b/>
                <w:bCs/>
                <w:color w:val="000000"/>
              </w:rPr>
              <w:t>Specifika Výzvy - pojmy</w:t>
            </w:r>
          </w:p>
        </w:tc>
        <w:tc>
          <w:tcPr>
            <w:tcW w:w="5376" w:type="dxa"/>
            <w:tcBorders>
              <w:top w:val="single" w:sz="4" w:space="0" w:color="auto"/>
              <w:left w:val="nil"/>
              <w:bottom w:val="single" w:sz="4" w:space="0" w:color="auto"/>
              <w:right w:val="single" w:sz="4" w:space="0" w:color="auto"/>
            </w:tcBorders>
            <w:shd w:val="clear" w:color="auto" w:fill="auto"/>
            <w:noWrap/>
            <w:vAlign w:val="center"/>
          </w:tcPr>
          <w:p w14:paraId="660CD903" w14:textId="77777777" w:rsidR="00607B07" w:rsidRPr="00843B1F" w:rsidRDefault="00A241C2" w:rsidP="00A241C2">
            <w:pPr>
              <w:pStyle w:val="Default"/>
              <w:rPr>
                <w:rFonts w:ascii="Calibri" w:eastAsia="Times New Roman" w:hAnsi="Calibri" w:cs="Calibri"/>
                <w:sz w:val="22"/>
                <w:szCs w:val="22"/>
                <w:lang w:eastAsia="cs-CZ"/>
              </w:rPr>
            </w:pPr>
            <w:r w:rsidRPr="00843B1F">
              <w:rPr>
                <w:rFonts w:ascii="Calibri" w:eastAsia="Times New Roman" w:hAnsi="Calibri" w:cs="Calibri"/>
                <w:sz w:val="22"/>
                <w:szCs w:val="22"/>
                <w:lang w:eastAsia="cs-CZ"/>
              </w:rPr>
              <w:t>V kap. 3.3.1 Definice pojmů, ve Specifických pravidlech pro žadatele a příjemce, jsou uvedeny upřesňující definice podporovaných aktivit.</w:t>
            </w:r>
          </w:p>
          <w:p w14:paraId="5CC81293"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Atraktivita cestovního ruchu </w:t>
            </w:r>
          </w:p>
          <w:p w14:paraId="027D7A62" w14:textId="77777777" w:rsidR="00A241C2"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Zajímavá součást krajiny, přírodní a kulturní objekty, lidmi vytvořené atraktivity (mosty, rozhledny, vodní díla apod.), přitahující účastníky cestovního ruchu. </w:t>
            </w:r>
          </w:p>
          <w:p w14:paraId="22CCA113" w14:textId="77777777" w:rsidR="00A241C2"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Doprovodná infrastruktura cestovního ruchu </w:t>
            </w:r>
          </w:p>
          <w:p w14:paraId="1F4C1479" w14:textId="77777777" w:rsidR="00A241C2"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Pro potřeby výzvy se jedná o odpočívadla, sociální zařízení a parkoviště. Vytvořená doprovodná infrastruktura je v bezprostřední blízkosti tras a atraktivit cestovního ruchu, tj. do 1 000 m po přístupové komunikaci. </w:t>
            </w:r>
          </w:p>
          <w:p w14:paraId="44BA23C6"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Navigační systémy měst a obcí </w:t>
            </w:r>
          </w:p>
          <w:p w14:paraId="12F0123E" w14:textId="77777777" w:rsidR="00A241C2" w:rsidRPr="00843B1F" w:rsidRDefault="00A241C2" w:rsidP="00A241C2">
            <w:pPr>
              <w:pStyle w:val="Default"/>
              <w:rPr>
                <w:rFonts w:ascii="Calibri" w:eastAsia="Times New Roman" w:hAnsi="Calibri" w:cs="Calibri"/>
                <w:sz w:val="22"/>
                <w:szCs w:val="22"/>
                <w:lang w:eastAsia="cs-CZ"/>
              </w:rPr>
            </w:pPr>
            <w:r w:rsidRPr="00843B1F">
              <w:rPr>
                <w:rFonts w:ascii="Calibri" w:eastAsia="Times New Roman" w:hAnsi="Calibri" w:cs="Calibri"/>
                <w:sz w:val="22"/>
                <w:szCs w:val="22"/>
                <w:lang w:eastAsia="cs-CZ"/>
              </w:rPr>
              <w:t xml:space="preserve">Nástroj řízení návštěvnosti v území, jehož cílem je odstranit přetížení citlivých lokalit a pružně reagovat na aktuální vývoj návštěvnosti atraktivit v území. Online informuje o možnostech a případně vytíženosti parkování v lokalitě/obci, o vytíženosti místních atraktivit, o dopravním spojení k atraktivitám cestovního ruchu hromadnou dopravou atd. Současně aplikace přispívá i ke snížení ekologické zátěže z návštěvnosti. Mezi navigační systémy měst a obcí lze řadit i fyzické prvky navigace. </w:t>
            </w:r>
          </w:p>
          <w:p w14:paraId="1EF898C9"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Odpočívadlo </w:t>
            </w:r>
          </w:p>
          <w:p w14:paraId="420A1CB4" w14:textId="77777777" w:rsidR="00A241C2"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Zařízení vystavěné u značených turistických tras (pěší, vodní, </w:t>
            </w:r>
            <w:proofErr w:type="spellStart"/>
            <w:r w:rsidRPr="00A241C2">
              <w:rPr>
                <w:rFonts w:ascii="Calibri" w:eastAsia="Times New Roman" w:hAnsi="Calibri" w:cs="Calibri"/>
                <w:sz w:val="22"/>
                <w:szCs w:val="22"/>
                <w:lang w:eastAsia="cs-CZ"/>
              </w:rPr>
              <w:t>cyklo</w:t>
            </w:r>
            <w:proofErr w:type="spellEnd"/>
            <w:r w:rsidRPr="00A241C2">
              <w:rPr>
                <w:rFonts w:ascii="Calibri" w:eastAsia="Times New Roman" w:hAnsi="Calibri" w:cs="Calibri"/>
                <w:sz w:val="22"/>
                <w:szCs w:val="22"/>
                <w:lang w:eastAsia="cs-CZ"/>
              </w:rPr>
              <w:t xml:space="preserve">, </w:t>
            </w:r>
            <w:proofErr w:type="spellStart"/>
            <w:r w:rsidRPr="00A241C2">
              <w:rPr>
                <w:rFonts w:ascii="Calibri" w:eastAsia="Times New Roman" w:hAnsi="Calibri" w:cs="Calibri"/>
                <w:sz w:val="22"/>
                <w:szCs w:val="22"/>
                <w:lang w:eastAsia="cs-CZ"/>
              </w:rPr>
              <w:t>hipo</w:t>
            </w:r>
            <w:proofErr w:type="spellEnd"/>
            <w:r w:rsidRPr="00A241C2">
              <w:rPr>
                <w:rFonts w:ascii="Calibri" w:eastAsia="Times New Roman" w:hAnsi="Calibri" w:cs="Calibri"/>
                <w:sz w:val="22"/>
                <w:szCs w:val="22"/>
                <w:lang w:eastAsia="cs-CZ"/>
              </w:rPr>
              <w:t xml:space="preserve"> atd.) a u atraktivit cestovního ruchu umožňující krátkodobý odpočinek turistům během cesty. Primárně by mělo být zastřešené se sezením minimálně pro 4 osoby vybavené mobiliářem6, nezastřešené v případě specifických přírodních podmínek. Odpočívadlo je volně přístupné, při využití odpočívadla není povinnost využívat dalších služeb. Odpočívadlo musí být umístěno do 1 000 m od tras a atraktivit cestovního ruchu po přístupové komunikaci. </w:t>
            </w:r>
          </w:p>
          <w:p w14:paraId="18FBFC63"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Parkoviště </w:t>
            </w:r>
          </w:p>
          <w:p w14:paraId="444D304E" w14:textId="1C77865A" w:rsidR="00843B1F"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Venkovní prostor pro parkování vozidel na samostatné ploše oddělené od pozemní komunikace, na kterém jsou navržena jednotlivá parkovací stání. Je podporováno budování parkovišť u atraktivit cestovního ruchu. Parkoviště u destinace7 cestovního ruchu musí být realizováno a navázáno na existující nebo novou značenou turistickou trasu nebo existující naučnou stezku. Vybudování parkoviště je možné pouze tam, kde stávající kapacity prokazatelně nestačí pojmout dosahovanou návštěvnost, nebo jsou nevyhovující (provizorní, nezpevněné, neoznačené, hrozí nebezpečí z hlediska silničního provozu). Parkoviště může být zpoplatněno (příjmy jsou určeny na krytí nákladů spojených s provozem parkoviště). Parkoviště musí být umístěno do 1 000 m od tras a atraktivit cestovního ruchu po přístupové komunikaci. </w:t>
            </w:r>
          </w:p>
          <w:p w14:paraId="34AFC95B"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Sociální zařízení (také hygienické zařízení) </w:t>
            </w:r>
          </w:p>
          <w:p w14:paraId="56CC680C" w14:textId="77777777" w:rsidR="00A241C2" w:rsidRPr="00A241C2" w:rsidRDefault="00A241C2" w:rsidP="00A241C2">
            <w:pPr>
              <w:pStyle w:val="Default"/>
              <w:rPr>
                <w:rFonts w:ascii="Calibri" w:eastAsia="Times New Roman" w:hAnsi="Calibri" w:cs="Calibri"/>
                <w:sz w:val="22"/>
                <w:szCs w:val="22"/>
                <w:lang w:eastAsia="cs-CZ"/>
              </w:rPr>
            </w:pPr>
            <w:r w:rsidRPr="00A241C2">
              <w:rPr>
                <w:rFonts w:ascii="Calibri" w:eastAsia="Times New Roman" w:hAnsi="Calibri" w:cs="Calibri"/>
                <w:sz w:val="22"/>
                <w:szCs w:val="22"/>
                <w:lang w:eastAsia="cs-CZ"/>
              </w:rPr>
              <w:t xml:space="preserve">Obecné označení pro veřejné prostory, vybavené zařizovacími předměty pro osobní hygienu a případně i pro přebalování malých dětí. Sociální zařízení musí být veřejně přístupné, otevřené denně dle sezóny na daném území. Použití sociálního zařízení může být zpoplatněno (příjmy jsou určeny na krytí nákladů spojených s provozem sociálního zařízení). Sociální zařízení musí být umístěno do 1 000 m od tras a atraktivit cestovního ruchu po přístupové komunikaci. </w:t>
            </w:r>
          </w:p>
          <w:p w14:paraId="7AC072D7" w14:textId="77777777" w:rsidR="00A241C2" w:rsidRPr="00A241C2" w:rsidRDefault="00A241C2" w:rsidP="00A241C2">
            <w:pPr>
              <w:pStyle w:val="Default"/>
              <w:rPr>
                <w:rFonts w:ascii="Calibri" w:eastAsia="Times New Roman" w:hAnsi="Calibri" w:cs="Calibri"/>
                <w:sz w:val="22"/>
                <w:szCs w:val="22"/>
                <w:u w:val="single"/>
                <w:lang w:eastAsia="cs-CZ"/>
              </w:rPr>
            </w:pPr>
            <w:r w:rsidRPr="00A241C2">
              <w:rPr>
                <w:rFonts w:ascii="Calibri" w:eastAsia="Times New Roman" w:hAnsi="Calibri" w:cs="Calibri"/>
                <w:sz w:val="22"/>
                <w:szCs w:val="22"/>
                <w:u w:val="single"/>
                <w:lang w:eastAsia="cs-CZ"/>
              </w:rPr>
              <w:t xml:space="preserve">Turistická trasa </w:t>
            </w:r>
          </w:p>
          <w:p w14:paraId="2DDD5629" w14:textId="42C842C1" w:rsidR="00A241C2" w:rsidRPr="00843B1F" w:rsidRDefault="00A241C2" w:rsidP="00A241C2">
            <w:pPr>
              <w:pStyle w:val="Default"/>
              <w:rPr>
                <w:rFonts w:ascii="Calibri" w:eastAsia="Times New Roman" w:hAnsi="Calibri" w:cs="Calibri"/>
                <w:sz w:val="22"/>
                <w:szCs w:val="22"/>
                <w:lang w:eastAsia="cs-CZ"/>
              </w:rPr>
            </w:pPr>
            <w:r w:rsidRPr="00843B1F">
              <w:rPr>
                <w:rFonts w:ascii="Calibri" w:eastAsia="Times New Roman" w:hAnsi="Calibri" w:cs="Calibri"/>
                <w:sz w:val="22"/>
                <w:szCs w:val="22"/>
                <w:lang w:eastAsia="cs-CZ"/>
              </w:rPr>
              <w:t xml:space="preserve">Značená turistická trasa určená pro specifické formy aktivního cestovního ruchu (např. pro pěší, cyklisty, jezdce na koních, běžkaře, vodáky, případně i pro vozíčkáře8). Trasa je vymezena začátkem a cílovou destinací cesty, příp. napojením na další existující trasu, zastávkami a místy k navštívení. Turistická trasa je zabezpečena značením ve spolupráci s Klubem českých turistů (dále také „KČT“) a zároveň je zabezpečena její údržba (zejm. udržování jejího povrchu, průchodnosti a zamezení jejího znečišťování). Značení je vytvořeno v souladu s ČSN 01 8025 Turistické značení. V případě značení turistických tras nebo </w:t>
            </w:r>
            <w:proofErr w:type="spellStart"/>
            <w:r w:rsidRPr="00843B1F">
              <w:rPr>
                <w:rFonts w:ascii="Calibri" w:eastAsia="Times New Roman" w:hAnsi="Calibri" w:cs="Calibri"/>
                <w:sz w:val="22"/>
                <w:szCs w:val="22"/>
                <w:lang w:eastAsia="cs-CZ"/>
              </w:rPr>
              <w:t>přetrasování</w:t>
            </w:r>
            <w:proofErr w:type="spellEnd"/>
            <w:r w:rsidRPr="00843B1F">
              <w:rPr>
                <w:rFonts w:ascii="Calibri" w:eastAsia="Times New Roman" w:hAnsi="Calibri" w:cs="Calibri"/>
                <w:sz w:val="22"/>
                <w:szCs w:val="22"/>
                <w:lang w:eastAsia="cs-CZ"/>
              </w:rPr>
              <w:t xml:space="preserve"> je nutná spolupráce s KČT. Více informací a kontakty ke KČT viz </w:t>
            </w:r>
            <w:hyperlink r:id="rId10" w:history="1">
              <w:r w:rsidR="004D77F6" w:rsidRPr="00843B1F">
                <w:rPr>
                  <w:rStyle w:val="Hypertextovodkaz"/>
                  <w:rFonts w:ascii="Calibri" w:eastAsia="Times New Roman" w:hAnsi="Calibri" w:cs="Calibri"/>
                  <w:sz w:val="22"/>
                  <w:szCs w:val="22"/>
                  <w:lang w:eastAsia="cs-CZ"/>
                </w:rPr>
                <w:t>https://kct.cz/irop-cestovni-ruch</w:t>
              </w:r>
            </w:hyperlink>
            <w:r w:rsidRPr="00843B1F">
              <w:rPr>
                <w:rFonts w:ascii="Calibri" w:eastAsia="Times New Roman" w:hAnsi="Calibri" w:cs="Calibri"/>
                <w:sz w:val="22"/>
                <w:szCs w:val="22"/>
                <w:lang w:eastAsia="cs-CZ"/>
              </w:rPr>
              <w:t>.</w:t>
            </w:r>
          </w:p>
          <w:p w14:paraId="1924FE94" w14:textId="77777777" w:rsidR="004D77F6" w:rsidRPr="004D77F6" w:rsidRDefault="004D77F6" w:rsidP="004D77F6">
            <w:pPr>
              <w:pStyle w:val="Default"/>
              <w:rPr>
                <w:rFonts w:ascii="Calibri" w:eastAsia="Times New Roman" w:hAnsi="Calibri" w:cs="Calibri"/>
                <w:sz w:val="22"/>
                <w:szCs w:val="22"/>
                <w:u w:val="single"/>
                <w:lang w:eastAsia="cs-CZ"/>
              </w:rPr>
            </w:pPr>
            <w:r w:rsidRPr="004D77F6">
              <w:rPr>
                <w:rFonts w:ascii="Calibri" w:eastAsia="Times New Roman" w:hAnsi="Calibri" w:cs="Calibri"/>
                <w:sz w:val="22"/>
                <w:szCs w:val="22"/>
                <w:u w:val="single"/>
                <w:lang w:eastAsia="cs-CZ"/>
              </w:rPr>
              <w:t xml:space="preserve">Turistické informační centrum </w:t>
            </w:r>
          </w:p>
          <w:p w14:paraId="6ADD6931" w14:textId="10DCF44C" w:rsidR="004D77F6" w:rsidRPr="004D77F6" w:rsidRDefault="004D77F6" w:rsidP="004D77F6">
            <w:pPr>
              <w:pStyle w:val="Default"/>
              <w:rPr>
                <w:rFonts w:ascii="Calibri" w:eastAsia="Times New Roman" w:hAnsi="Calibri" w:cs="Calibri"/>
                <w:sz w:val="22"/>
                <w:szCs w:val="22"/>
                <w:lang w:eastAsia="cs-CZ"/>
              </w:rPr>
            </w:pPr>
            <w:r w:rsidRPr="004D77F6">
              <w:rPr>
                <w:rFonts w:ascii="Calibri" w:eastAsia="Times New Roman" w:hAnsi="Calibri" w:cs="Calibri"/>
                <w:sz w:val="22"/>
                <w:szCs w:val="22"/>
                <w:lang w:eastAsia="cs-CZ"/>
              </w:rPr>
              <w:t xml:space="preserve">Styčný bod v destinaci cestovního ruchu, kde jsou turistům poskytovány základní informace o dané destinaci a jejím okolí, příp. kde jsou zprostředkovávány služby související s cestovním ruchem. Turistické informační centrum je viditelně označeno mezinárodním symbolem bílého písmena „i“ v zeleném poli. Turistická informační centra podpořená z IROP musí být po dokončení certifikovaná dle Jednotné klasifikace turistických informačních center ČR9 (minimálně třída C). </w:t>
            </w:r>
          </w:p>
          <w:p w14:paraId="373FDE96" w14:textId="77777777" w:rsidR="004D77F6" w:rsidRPr="004D77F6" w:rsidRDefault="004D77F6" w:rsidP="004D77F6">
            <w:pPr>
              <w:pStyle w:val="Default"/>
              <w:rPr>
                <w:rFonts w:ascii="Calibri" w:eastAsia="Times New Roman" w:hAnsi="Calibri" w:cs="Calibri"/>
                <w:sz w:val="22"/>
                <w:szCs w:val="22"/>
                <w:u w:val="single"/>
                <w:lang w:eastAsia="cs-CZ"/>
              </w:rPr>
            </w:pPr>
            <w:r w:rsidRPr="004D77F6">
              <w:rPr>
                <w:rFonts w:ascii="Calibri" w:eastAsia="Times New Roman" w:hAnsi="Calibri" w:cs="Calibri"/>
                <w:sz w:val="22"/>
                <w:szCs w:val="22"/>
                <w:u w:val="single"/>
                <w:lang w:eastAsia="cs-CZ"/>
              </w:rPr>
              <w:t xml:space="preserve">Veřejná infrastruktura cestovního ruchu (také návštěvnická infrastruktura) </w:t>
            </w:r>
          </w:p>
          <w:p w14:paraId="284B0439" w14:textId="77777777" w:rsidR="004D77F6" w:rsidRPr="004D77F6" w:rsidRDefault="004D77F6" w:rsidP="004D77F6">
            <w:pPr>
              <w:pStyle w:val="Default"/>
              <w:rPr>
                <w:rFonts w:ascii="Calibri" w:eastAsia="Times New Roman" w:hAnsi="Calibri" w:cs="Calibri"/>
                <w:sz w:val="22"/>
                <w:szCs w:val="22"/>
                <w:lang w:eastAsia="cs-CZ"/>
              </w:rPr>
            </w:pPr>
            <w:r w:rsidRPr="004D77F6">
              <w:rPr>
                <w:rFonts w:ascii="Calibri" w:eastAsia="Times New Roman" w:hAnsi="Calibri" w:cs="Calibri"/>
                <w:sz w:val="22"/>
                <w:szCs w:val="22"/>
                <w:lang w:eastAsia="cs-CZ"/>
              </w:rPr>
              <w:t xml:space="preserve">Nepodnikatelská/nezisková infrastruktura sloužící návštěvníkům a rezidentům. Veřejná infrastruktura cestovního ruchu představuje základní nabídku destinace, na kterou navazují další investice a rozvojové priority v území. Bude podporováno budování veřejné infrastruktury cestovního ruchu v místech, kde tato infrastruktura prokazatelně není/chybí, případně, kdy kvalita, či kapacita stávající infrastruktury je nevyhovující, resp. nedostačující. Veřejná infrastruktura cestovního ruchu je zpravidla přístupná bez omezení. Případné zpoplatnění užívání této infrastruktury slouží pouze k pokrytí jejího provozu a její údržby, neslouží k výdělečné činnosti (zisku). </w:t>
            </w:r>
          </w:p>
          <w:p w14:paraId="60EDCF7A" w14:textId="77777777" w:rsidR="004D77F6" w:rsidRPr="004D77F6" w:rsidRDefault="004D77F6" w:rsidP="004D77F6">
            <w:pPr>
              <w:pStyle w:val="Default"/>
              <w:rPr>
                <w:rFonts w:ascii="Calibri" w:eastAsia="Times New Roman" w:hAnsi="Calibri" w:cs="Calibri"/>
                <w:sz w:val="22"/>
                <w:szCs w:val="22"/>
                <w:lang w:eastAsia="cs-CZ"/>
              </w:rPr>
            </w:pPr>
            <w:r w:rsidRPr="004D77F6">
              <w:rPr>
                <w:rFonts w:ascii="Calibri" w:eastAsia="Times New Roman" w:hAnsi="Calibri" w:cs="Calibri"/>
                <w:sz w:val="22"/>
                <w:szCs w:val="22"/>
                <w:lang w:eastAsia="cs-CZ"/>
              </w:rPr>
              <w:t xml:space="preserve">Pro potřeby výzvy se mezi veřejnou infrastrukturu cestovního ruchu řadí odpočívadla, parkoviště, sociální zařízení, veřejná infrastruktura pro vodáckou a vodní turistiku / rekreační plavbu, turistické trasy a jejich značení, navigační systémy a turistická informační centra. </w:t>
            </w:r>
          </w:p>
          <w:p w14:paraId="1E3D742F" w14:textId="77777777" w:rsidR="004D77F6" w:rsidRPr="004D77F6" w:rsidRDefault="004D77F6" w:rsidP="004D77F6">
            <w:pPr>
              <w:pStyle w:val="Default"/>
              <w:rPr>
                <w:rFonts w:ascii="Calibri" w:eastAsia="Times New Roman" w:hAnsi="Calibri" w:cs="Calibri"/>
                <w:sz w:val="22"/>
                <w:szCs w:val="22"/>
                <w:u w:val="single"/>
                <w:lang w:eastAsia="cs-CZ"/>
              </w:rPr>
            </w:pPr>
            <w:r w:rsidRPr="004D77F6">
              <w:rPr>
                <w:rFonts w:ascii="Calibri" w:eastAsia="Times New Roman" w:hAnsi="Calibri" w:cs="Calibri"/>
                <w:sz w:val="22"/>
                <w:szCs w:val="22"/>
                <w:u w:val="single"/>
                <w:lang w:eastAsia="cs-CZ"/>
              </w:rPr>
              <w:t xml:space="preserve">Veřejná infrastruktura pro vodáckou a vodní turistiku / rekreační plavbu </w:t>
            </w:r>
          </w:p>
          <w:p w14:paraId="49BA64E0" w14:textId="369EE207" w:rsidR="004D77F6" w:rsidRPr="00A241C2" w:rsidRDefault="004D77F6" w:rsidP="004D77F6">
            <w:pPr>
              <w:pStyle w:val="Default"/>
              <w:rPr>
                <w:rFonts w:ascii="Calibri" w:eastAsia="Times New Roman" w:hAnsi="Calibri" w:cs="Calibri"/>
                <w:lang w:eastAsia="cs-CZ"/>
              </w:rPr>
            </w:pPr>
            <w:r w:rsidRPr="00843B1F">
              <w:rPr>
                <w:rFonts w:ascii="Calibri" w:eastAsia="Times New Roman" w:hAnsi="Calibri" w:cs="Calibri"/>
                <w:sz w:val="22"/>
                <w:szCs w:val="22"/>
                <w:lang w:eastAsia="cs-CZ"/>
              </w:rPr>
              <w:t>Druh cestovního ruchu využívající vodní plochy a vodní toky pro různé aktivity a vodní sporty.</w:t>
            </w:r>
          </w:p>
        </w:tc>
      </w:tr>
      <w:tr w:rsidR="00753D29" w:rsidRPr="00BA701F" w14:paraId="1A9707CE" w14:textId="77777777" w:rsidTr="00106376">
        <w:trPr>
          <w:trHeight w:val="288"/>
        </w:trPr>
        <w:tc>
          <w:tcPr>
            <w:tcW w:w="5398" w:type="dxa"/>
            <w:tcBorders>
              <w:top w:val="nil"/>
              <w:left w:val="nil"/>
              <w:bottom w:val="nil"/>
              <w:right w:val="nil"/>
            </w:tcBorders>
            <w:shd w:val="clear" w:color="auto" w:fill="auto"/>
            <w:noWrap/>
            <w:vAlign w:val="bottom"/>
            <w:hideMark/>
          </w:tcPr>
          <w:p w14:paraId="26500D28" w14:textId="77777777" w:rsidR="00753D29" w:rsidRPr="00BA701F" w:rsidRDefault="00753D29" w:rsidP="00106376">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68157785" w14:textId="77777777" w:rsidR="00753D29" w:rsidRPr="00BA701F" w:rsidRDefault="00753D29" w:rsidP="00106376">
            <w:pPr>
              <w:spacing w:after="0"/>
              <w:jc w:val="left"/>
              <w:rPr>
                <w:rFonts w:ascii="Times New Roman" w:eastAsia="Times New Roman" w:hAnsi="Times New Roman" w:cs="Times New Roman"/>
                <w:sz w:val="20"/>
                <w:szCs w:val="20"/>
              </w:rPr>
            </w:pPr>
          </w:p>
        </w:tc>
      </w:tr>
      <w:tr w:rsidR="00753D29" w:rsidRPr="00BA701F" w14:paraId="0BA03481"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F131F30" w14:textId="77777777" w:rsidR="00753D29" w:rsidRPr="00BA701F" w:rsidRDefault="00753D29" w:rsidP="00106376">
            <w:pPr>
              <w:spacing w:after="0"/>
              <w:jc w:val="center"/>
              <w:rPr>
                <w:rFonts w:eastAsia="Times New Roman"/>
                <w:b/>
                <w:bCs/>
                <w:color w:val="000000"/>
                <w:sz w:val="24"/>
                <w:szCs w:val="24"/>
              </w:rPr>
            </w:pPr>
            <w:r w:rsidRPr="00BA701F">
              <w:rPr>
                <w:rFonts w:eastAsia="Times New Roman"/>
                <w:b/>
                <w:bCs/>
                <w:color w:val="000000"/>
                <w:sz w:val="24"/>
                <w:szCs w:val="24"/>
              </w:rPr>
              <w:t>Náležitosti žádosti o podporu</w:t>
            </w:r>
          </w:p>
        </w:tc>
      </w:tr>
      <w:tr w:rsidR="00275959" w:rsidRPr="00BA701F" w14:paraId="376F753C" w14:textId="77777777" w:rsidTr="00A05B13">
        <w:trPr>
          <w:trHeight w:val="288"/>
        </w:trPr>
        <w:tc>
          <w:tcPr>
            <w:tcW w:w="5398" w:type="dxa"/>
            <w:vMerge w:val="restart"/>
            <w:tcBorders>
              <w:top w:val="nil"/>
              <w:left w:val="single" w:sz="4" w:space="0" w:color="auto"/>
              <w:right w:val="single" w:sz="4" w:space="0" w:color="auto"/>
            </w:tcBorders>
            <w:shd w:val="clear" w:color="auto" w:fill="auto"/>
            <w:vAlign w:val="center"/>
            <w:hideMark/>
          </w:tcPr>
          <w:p w14:paraId="1C0AF7F5" w14:textId="228BB5F6" w:rsidR="00275959" w:rsidRPr="00BA701F" w:rsidRDefault="00275959" w:rsidP="00106376">
            <w:pPr>
              <w:spacing w:after="0"/>
              <w:jc w:val="left"/>
              <w:rPr>
                <w:rFonts w:eastAsia="Times New Roman"/>
                <w:b/>
                <w:bCs/>
                <w:color w:val="000000"/>
              </w:rPr>
            </w:pPr>
            <w:r w:rsidRPr="00BA701F">
              <w:rPr>
                <w:rFonts w:eastAsia="Times New Roman"/>
                <w:b/>
                <w:bCs/>
                <w:color w:val="000000"/>
              </w:rPr>
              <w:t>Povinné přílohy žádosti o dotaci</w:t>
            </w:r>
            <w:r>
              <w:rPr>
                <w:rFonts w:eastAsia="Times New Roman"/>
                <w:b/>
                <w:bCs/>
                <w:color w:val="000000"/>
              </w:rPr>
              <w:t xml:space="preserve"> (projektového záměru)</w:t>
            </w:r>
          </w:p>
        </w:tc>
        <w:tc>
          <w:tcPr>
            <w:tcW w:w="5376" w:type="dxa"/>
            <w:tcBorders>
              <w:top w:val="nil"/>
              <w:left w:val="nil"/>
              <w:bottom w:val="single" w:sz="4" w:space="0" w:color="auto"/>
              <w:right w:val="single" w:sz="4" w:space="0" w:color="auto"/>
            </w:tcBorders>
            <w:shd w:val="clear" w:color="auto" w:fill="auto"/>
            <w:noWrap/>
            <w:vAlign w:val="bottom"/>
            <w:hideMark/>
          </w:tcPr>
          <w:p w14:paraId="6BD7233B" w14:textId="5905F61C" w:rsidR="00275959" w:rsidRPr="009D7659" w:rsidRDefault="00275959" w:rsidP="00C71BE8">
            <w:pPr>
              <w:spacing w:after="0"/>
              <w:jc w:val="left"/>
              <w:rPr>
                <w:rFonts w:asciiTheme="minorHAnsi" w:hAnsiTheme="minorHAnsi" w:cstheme="minorHAnsi"/>
              </w:rPr>
            </w:pPr>
            <w:r>
              <w:rPr>
                <w:rStyle w:val="markedcontent"/>
                <w:rFonts w:asciiTheme="minorHAnsi" w:hAnsiTheme="minorHAnsi" w:cstheme="minorHAnsi"/>
              </w:rPr>
              <w:t xml:space="preserve">1. </w:t>
            </w:r>
            <w:r w:rsidRPr="009D7659">
              <w:rPr>
                <w:rStyle w:val="markedcontent"/>
                <w:rFonts w:asciiTheme="minorHAnsi" w:hAnsiTheme="minorHAnsi" w:cstheme="minorHAnsi"/>
              </w:rPr>
              <w:t xml:space="preserve">Plná moc - </w:t>
            </w:r>
            <w:r>
              <w:rPr>
                <w:rStyle w:val="markedcontent"/>
                <w:rFonts w:asciiTheme="minorHAnsi" w:hAnsiTheme="minorHAnsi" w:cstheme="minorHAnsi"/>
              </w:rPr>
              <w:t>d</w:t>
            </w:r>
            <w:r w:rsidRPr="009D7659">
              <w:rPr>
                <w:rStyle w:val="markedcontent"/>
                <w:rFonts w:asciiTheme="minorHAnsi" w:hAnsiTheme="minorHAnsi" w:cstheme="minorHAnsi"/>
              </w:rPr>
              <w:t>okládá se</w:t>
            </w:r>
            <w:r>
              <w:rPr>
                <w:rStyle w:val="markedcontent"/>
                <w:rFonts w:asciiTheme="minorHAnsi" w:hAnsiTheme="minorHAnsi" w:cstheme="minorHAnsi"/>
              </w:rPr>
              <w:t xml:space="preserve"> pouze</w:t>
            </w:r>
            <w:r w:rsidRPr="009D7659">
              <w:rPr>
                <w:rStyle w:val="markedcontent"/>
                <w:rFonts w:asciiTheme="minorHAnsi" w:hAnsiTheme="minorHAnsi" w:cstheme="minorHAnsi"/>
              </w:rPr>
              <w:t xml:space="preserve"> v případě přenesení pravomocí </w:t>
            </w:r>
            <w:r>
              <w:rPr>
                <w:rStyle w:val="markedcontent"/>
                <w:rFonts w:asciiTheme="minorHAnsi" w:hAnsiTheme="minorHAnsi" w:cstheme="minorHAnsi"/>
              </w:rPr>
              <w:t xml:space="preserve">statutárního zástupce </w:t>
            </w:r>
            <w:r w:rsidRPr="009D7659">
              <w:rPr>
                <w:rStyle w:val="markedcontent"/>
                <w:rFonts w:asciiTheme="minorHAnsi" w:hAnsiTheme="minorHAnsi" w:cstheme="minorHAnsi"/>
              </w:rPr>
              <w:t>žadatele na jinou</w:t>
            </w:r>
            <w:r w:rsidRPr="009D7659">
              <w:rPr>
                <w:rFonts w:asciiTheme="minorHAnsi" w:hAnsiTheme="minorHAnsi" w:cstheme="minorHAnsi"/>
              </w:rPr>
              <w:t xml:space="preserve"> </w:t>
            </w:r>
            <w:r w:rsidRPr="009D7659">
              <w:rPr>
                <w:rStyle w:val="markedcontent"/>
                <w:rFonts w:asciiTheme="minorHAnsi" w:hAnsiTheme="minorHAnsi" w:cstheme="minorHAnsi"/>
              </w:rPr>
              <w:t>osobu. Plná moc/pověření musí obsahovat, kdo je kým pověřen, co je předmětem pověření,</w:t>
            </w:r>
            <w:r>
              <w:rPr>
                <w:rStyle w:val="markedcontent"/>
                <w:rFonts w:asciiTheme="minorHAnsi" w:hAnsiTheme="minorHAnsi" w:cstheme="minorHAnsi"/>
              </w:rPr>
              <w:t xml:space="preserve"> </w:t>
            </w:r>
            <w:r w:rsidRPr="009D7659">
              <w:rPr>
                <w:rStyle w:val="markedcontent"/>
                <w:rFonts w:asciiTheme="minorHAnsi" w:hAnsiTheme="minorHAnsi" w:cstheme="minorHAnsi"/>
              </w:rPr>
              <w:t>dobu účinnosti a datum zánik</w:t>
            </w:r>
            <w:r>
              <w:rPr>
                <w:rStyle w:val="markedcontent"/>
                <w:rFonts w:asciiTheme="minorHAnsi" w:hAnsiTheme="minorHAnsi" w:cstheme="minorHAnsi"/>
              </w:rPr>
              <w:t xml:space="preserve">u </w:t>
            </w:r>
            <w:r w:rsidRPr="009D7659">
              <w:rPr>
                <w:rStyle w:val="markedcontent"/>
                <w:rFonts w:asciiTheme="minorHAnsi" w:hAnsiTheme="minorHAnsi" w:cstheme="minorHAnsi"/>
              </w:rPr>
              <w:t>pověření. V případě obcí/krajů může být plná moc nahrazena</w:t>
            </w:r>
            <w:r>
              <w:rPr>
                <w:rFonts w:asciiTheme="minorHAnsi" w:hAnsiTheme="minorHAnsi" w:cstheme="minorHAnsi"/>
              </w:rPr>
              <w:t xml:space="preserve"> </w:t>
            </w:r>
            <w:r w:rsidRPr="009D7659">
              <w:rPr>
                <w:rStyle w:val="markedcontent"/>
                <w:rFonts w:asciiTheme="minorHAnsi" w:hAnsiTheme="minorHAnsi" w:cstheme="minorHAnsi"/>
              </w:rPr>
              <w:t xml:space="preserve">usnesením zastupitelstva/rady. </w:t>
            </w:r>
          </w:p>
        </w:tc>
      </w:tr>
      <w:tr w:rsidR="00275959" w:rsidRPr="00BA701F" w14:paraId="6915280B" w14:textId="77777777" w:rsidTr="00A05B13">
        <w:trPr>
          <w:trHeight w:val="288"/>
        </w:trPr>
        <w:tc>
          <w:tcPr>
            <w:tcW w:w="5398" w:type="dxa"/>
            <w:vMerge/>
            <w:tcBorders>
              <w:left w:val="single" w:sz="4" w:space="0" w:color="auto"/>
              <w:right w:val="single" w:sz="4" w:space="0" w:color="auto"/>
            </w:tcBorders>
            <w:shd w:val="clear" w:color="auto" w:fill="auto"/>
            <w:vAlign w:val="center"/>
            <w:hideMark/>
          </w:tcPr>
          <w:p w14:paraId="49F160BA" w14:textId="77777777" w:rsidR="00275959" w:rsidRPr="00BA701F" w:rsidRDefault="00275959" w:rsidP="00106376">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4C18A8EB" w14:textId="5AB9CED6" w:rsidR="00275959" w:rsidRPr="00BA701F" w:rsidRDefault="00275959" w:rsidP="00AD6C85">
            <w:pPr>
              <w:spacing w:after="0"/>
              <w:jc w:val="left"/>
              <w:rPr>
                <w:rFonts w:eastAsia="Times New Roman"/>
                <w:color w:val="000000"/>
              </w:rPr>
            </w:pPr>
            <w:r>
              <w:rPr>
                <w:rFonts w:eastAsia="Times New Roman"/>
                <w:color w:val="000000"/>
              </w:rPr>
              <w:t>2. Čestné prohlášení žadatele k schopnosti doložit přílohy vyžadované ŘO IROP (viz vzor) v období mezi Vydáním souladu projektového záměru se SCLLD 21-27 a podáním projektu v systému MS2021+.</w:t>
            </w:r>
          </w:p>
        </w:tc>
      </w:tr>
      <w:tr w:rsidR="00275959" w:rsidRPr="00BA701F" w14:paraId="3BD0F1E1" w14:textId="77777777" w:rsidTr="009805B5">
        <w:trPr>
          <w:trHeight w:val="288"/>
        </w:trPr>
        <w:tc>
          <w:tcPr>
            <w:tcW w:w="5398" w:type="dxa"/>
            <w:vMerge/>
            <w:tcBorders>
              <w:left w:val="single" w:sz="4" w:space="0" w:color="auto"/>
              <w:right w:val="single" w:sz="4" w:space="0" w:color="auto"/>
            </w:tcBorders>
            <w:shd w:val="clear" w:color="auto" w:fill="auto"/>
            <w:vAlign w:val="center"/>
            <w:hideMark/>
          </w:tcPr>
          <w:p w14:paraId="6BAE24AE" w14:textId="77777777" w:rsidR="00275959" w:rsidRPr="00BA701F" w:rsidRDefault="00275959" w:rsidP="00106376">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12C21CA0" w14:textId="5F143F33" w:rsidR="00275959" w:rsidRPr="00F75564" w:rsidRDefault="00275959" w:rsidP="00106376">
            <w:pPr>
              <w:spacing w:after="0"/>
              <w:jc w:val="left"/>
              <w:rPr>
                <w:rFonts w:eastAsia="Times New Roman"/>
                <w:color w:val="000000"/>
                <w:highlight w:val="yellow"/>
              </w:rPr>
            </w:pPr>
            <w:r>
              <w:rPr>
                <w:rFonts w:eastAsia="Times New Roman"/>
                <w:color w:val="000000"/>
              </w:rPr>
              <w:t>3</w:t>
            </w:r>
            <w:r w:rsidRPr="007A2B23">
              <w:rPr>
                <w:rFonts w:eastAsia="Times New Roman"/>
                <w:color w:val="000000"/>
              </w:rPr>
              <w:t>. Položkový rozpočet projektu</w:t>
            </w:r>
            <w:r>
              <w:rPr>
                <w:rFonts w:eastAsia="Times New Roman"/>
                <w:color w:val="000000"/>
              </w:rPr>
              <w:t xml:space="preserve"> (součástí je také tabulka k ověření limitů)</w:t>
            </w:r>
          </w:p>
        </w:tc>
      </w:tr>
      <w:tr w:rsidR="00275959" w:rsidRPr="00BA701F" w14:paraId="15BBD2EF" w14:textId="77777777" w:rsidTr="00A05B13">
        <w:trPr>
          <w:trHeight w:val="288"/>
        </w:trPr>
        <w:tc>
          <w:tcPr>
            <w:tcW w:w="5398" w:type="dxa"/>
            <w:vMerge/>
            <w:tcBorders>
              <w:left w:val="single" w:sz="4" w:space="0" w:color="auto"/>
              <w:bottom w:val="single" w:sz="4" w:space="0" w:color="auto"/>
              <w:right w:val="single" w:sz="4" w:space="0" w:color="auto"/>
            </w:tcBorders>
            <w:shd w:val="clear" w:color="auto" w:fill="auto"/>
            <w:vAlign w:val="center"/>
          </w:tcPr>
          <w:p w14:paraId="357A2DC8" w14:textId="77777777" w:rsidR="00275959" w:rsidRPr="00BA701F" w:rsidRDefault="00275959" w:rsidP="00106376">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tcPr>
          <w:p w14:paraId="2B3B1C5D" w14:textId="05A1C2A6" w:rsidR="00275959" w:rsidRDefault="00275959" w:rsidP="00106376">
            <w:pPr>
              <w:spacing w:after="0"/>
              <w:jc w:val="left"/>
              <w:rPr>
                <w:rFonts w:eastAsia="Times New Roman"/>
                <w:color w:val="000000"/>
              </w:rPr>
            </w:pPr>
            <w:r>
              <w:rPr>
                <w:rFonts w:eastAsia="Times New Roman"/>
                <w:color w:val="000000"/>
              </w:rPr>
              <w:t xml:space="preserve">4. </w:t>
            </w:r>
            <w:r w:rsidR="00BA63AA" w:rsidRPr="00234769">
              <w:rPr>
                <w:rFonts w:asciiTheme="minorHAnsi" w:eastAsia="Times New Roman" w:hAnsiTheme="minorHAnsi" w:cstheme="minorHAnsi"/>
                <w:color w:val="000000"/>
              </w:rPr>
              <w:t xml:space="preserve">Zaznačení místa realizace v katastrální mapě – musí být zřejmé - </w:t>
            </w:r>
            <w:r w:rsidR="00BA63AA" w:rsidRPr="00234769">
              <w:rPr>
                <w:rFonts w:asciiTheme="minorHAnsi" w:hAnsiTheme="minorHAnsi" w:cstheme="minorHAnsi"/>
                <w:iCs/>
                <w:sz w:val="20"/>
              </w:rPr>
              <w:t>katastrální území obce, na jejichž území bude realizována výstavba, rekonstrukce či pořízení prvků veřejné infrastruktury cestovního ruchu, která je předmětem projektu a parcelní číslo příslušné parcely</w:t>
            </w:r>
          </w:p>
        </w:tc>
      </w:tr>
      <w:tr w:rsidR="00244C75" w:rsidRPr="00BA701F" w14:paraId="7148588D" w14:textId="77777777" w:rsidTr="00E747AA">
        <w:trPr>
          <w:trHeight w:val="288"/>
        </w:trPr>
        <w:tc>
          <w:tcPr>
            <w:tcW w:w="5398" w:type="dxa"/>
            <w:vMerge w:val="restart"/>
            <w:tcBorders>
              <w:top w:val="nil"/>
              <w:left w:val="single" w:sz="4" w:space="0" w:color="auto"/>
              <w:right w:val="single" w:sz="4" w:space="0" w:color="auto"/>
            </w:tcBorders>
            <w:shd w:val="clear" w:color="auto" w:fill="auto"/>
            <w:vAlign w:val="center"/>
          </w:tcPr>
          <w:p w14:paraId="208EA427" w14:textId="5BA134F6" w:rsidR="00244C75" w:rsidRDefault="00244C75" w:rsidP="00106376">
            <w:pPr>
              <w:spacing w:after="0"/>
              <w:jc w:val="left"/>
              <w:rPr>
                <w:rFonts w:eastAsia="Times New Roman"/>
                <w:b/>
                <w:bCs/>
                <w:color w:val="000000"/>
              </w:rPr>
            </w:pPr>
            <w:r w:rsidRPr="00F37C45">
              <w:rPr>
                <w:rFonts w:eastAsia="Times New Roman"/>
                <w:b/>
                <w:bCs/>
                <w:color w:val="000000"/>
              </w:rPr>
              <w:t xml:space="preserve">Nepovinné přílohy žádosti o dotaci (projektového záměru) – </w:t>
            </w:r>
            <w:r w:rsidRPr="00F37C45">
              <w:rPr>
                <w:rFonts w:eastAsia="Times New Roman"/>
                <w:bCs/>
                <w:color w:val="000000"/>
              </w:rPr>
              <w:t xml:space="preserve">přílohy pro </w:t>
            </w:r>
            <w:r w:rsidRPr="00F37C45">
              <w:rPr>
                <w:rFonts w:eastAsia="Times New Roman"/>
                <w:color w:val="000000"/>
              </w:rPr>
              <w:t xml:space="preserve">vyhodnocení Kritérií </w:t>
            </w:r>
            <w:r w:rsidRPr="00F37C45">
              <w:t>pro posouzení věcné fáze procesu souladu projektového záměru se SCLLD</w:t>
            </w:r>
          </w:p>
        </w:tc>
        <w:tc>
          <w:tcPr>
            <w:tcW w:w="5376" w:type="dxa"/>
            <w:tcBorders>
              <w:top w:val="nil"/>
              <w:left w:val="nil"/>
              <w:bottom w:val="single" w:sz="4" w:space="0" w:color="auto"/>
              <w:right w:val="single" w:sz="4" w:space="0" w:color="auto"/>
            </w:tcBorders>
            <w:shd w:val="clear" w:color="auto" w:fill="auto"/>
            <w:noWrap/>
            <w:vAlign w:val="bottom"/>
          </w:tcPr>
          <w:p w14:paraId="1B3C3EF7" w14:textId="23FAD776" w:rsidR="00244C75" w:rsidRPr="004147E4" w:rsidRDefault="004147E4" w:rsidP="00106376">
            <w:pPr>
              <w:spacing w:after="0"/>
              <w:jc w:val="left"/>
              <w:rPr>
                <w:rStyle w:val="markedcontent"/>
                <w:rFonts w:asciiTheme="minorHAnsi" w:hAnsiTheme="minorHAnsi" w:cstheme="minorHAnsi"/>
              </w:rPr>
            </w:pPr>
            <w:r>
              <w:rPr>
                <w:rStyle w:val="markedcontent"/>
                <w:rFonts w:asciiTheme="minorHAnsi" w:hAnsiTheme="minorHAnsi" w:cstheme="minorHAnsi"/>
              </w:rPr>
              <w:t xml:space="preserve">1. </w:t>
            </w:r>
            <w:r w:rsidR="00244C75" w:rsidRPr="004147E4">
              <w:rPr>
                <w:rStyle w:val="markedcontent"/>
                <w:rFonts w:asciiTheme="minorHAnsi" w:hAnsiTheme="minorHAnsi" w:cstheme="minorHAnsi"/>
              </w:rPr>
              <w:t>Doklad prokazující povolení k realizaci stavby dle stavebního zákona</w:t>
            </w:r>
          </w:p>
        </w:tc>
      </w:tr>
      <w:tr w:rsidR="00244C75" w:rsidRPr="00BA701F" w14:paraId="1A81E55E" w14:textId="77777777" w:rsidTr="00E747AA">
        <w:trPr>
          <w:trHeight w:val="288"/>
        </w:trPr>
        <w:tc>
          <w:tcPr>
            <w:tcW w:w="5398" w:type="dxa"/>
            <w:vMerge/>
            <w:tcBorders>
              <w:left w:val="single" w:sz="4" w:space="0" w:color="auto"/>
              <w:right w:val="single" w:sz="4" w:space="0" w:color="auto"/>
            </w:tcBorders>
            <w:shd w:val="clear" w:color="auto" w:fill="auto"/>
            <w:vAlign w:val="center"/>
            <w:hideMark/>
          </w:tcPr>
          <w:p w14:paraId="02ED31C0" w14:textId="7CA8325E" w:rsidR="00244C75" w:rsidRPr="00BA701F" w:rsidRDefault="00244C75" w:rsidP="00106376">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609A4CD1" w14:textId="7D74AEE6" w:rsidR="00244C75" w:rsidRPr="004147E4" w:rsidRDefault="004147E4" w:rsidP="00106376">
            <w:pPr>
              <w:spacing w:after="0"/>
              <w:jc w:val="left"/>
              <w:rPr>
                <w:rStyle w:val="markedcontent"/>
                <w:rFonts w:asciiTheme="minorHAnsi" w:hAnsiTheme="minorHAnsi" w:cstheme="minorHAnsi"/>
              </w:rPr>
            </w:pPr>
            <w:r>
              <w:rPr>
                <w:rStyle w:val="markedcontent"/>
                <w:rFonts w:asciiTheme="minorHAnsi" w:hAnsiTheme="minorHAnsi" w:cstheme="minorHAnsi"/>
              </w:rPr>
              <w:t xml:space="preserve">2. </w:t>
            </w:r>
            <w:r w:rsidR="00244C75" w:rsidRPr="004147E4">
              <w:rPr>
                <w:rStyle w:val="markedcontent"/>
                <w:rFonts w:asciiTheme="minorHAnsi" w:hAnsiTheme="minorHAnsi" w:cstheme="minorHAnsi"/>
              </w:rPr>
              <w:t>Čestné prohlášení žadatele, že k realizaci projektu není třeba doklad prokazující povolení k realizaci stavby dle stavebního zákona</w:t>
            </w:r>
          </w:p>
        </w:tc>
      </w:tr>
      <w:tr w:rsidR="004E6444" w:rsidRPr="00BA701F" w14:paraId="6A83FEF4" w14:textId="77777777" w:rsidTr="00143A07">
        <w:trPr>
          <w:trHeight w:val="288"/>
        </w:trPr>
        <w:tc>
          <w:tcPr>
            <w:tcW w:w="5398" w:type="dxa"/>
            <w:vMerge/>
            <w:tcBorders>
              <w:left w:val="single" w:sz="4" w:space="0" w:color="auto"/>
              <w:right w:val="single" w:sz="4" w:space="0" w:color="auto"/>
            </w:tcBorders>
            <w:vAlign w:val="center"/>
            <w:hideMark/>
          </w:tcPr>
          <w:p w14:paraId="0448FFCC"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tcPr>
          <w:p w14:paraId="7F89F4DF" w14:textId="02B0150B" w:rsidR="004E6444" w:rsidRPr="004147E4" w:rsidRDefault="00BA63AA" w:rsidP="004E6444">
            <w:pPr>
              <w:spacing w:after="0"/>
              <w:jc w:val="left"/>
              <w:rPr>
                <w:rStyle w:val="markedcontent"/>
                <w:rFonts w:asciiTheme="minorHAnsi" w:hAnsiTheme="minorHAnsi" w:cstheme="minorHAnsi"/>
              </w:rPr>
            </w:pPr>
            <w:r>
              <w:rPr>
                <w:rStyle w:val="markedcontent"/>
                <w:rFonts w:asciiTheme="minorHAnsi" w:hAnsiTheme="minorHAnsi" w:cstheme="minorHAnsi"/>
              </w:rPr>
              <w:t xml:space="preserve">3. </w:t>
            </w:r>
            <w:r w:rsidRPr="004147E4">
              <w:rPr>
                <w:rStyle w:val="markedcontent"/>
                <w:rFonts w:asciiTheme="minorHAnsi" w:hAnsiTheme="minorHAnsi" w:cstheme="minorHAnsi"/>
              </w:rPr>
              <w:t>Dohoda o spolupráci</w:t>
            </w:r>
          </w:p>
        </w:tc>
      </w:tr>
      <w:tr w:rsidR="004E6444" w:rsidRPr="00BA701F" w14:paraId="45D65775" w14:textId="77777777" w:rsidTr="00143A07">
        <w:trPr>
          <w:trHeight w:val="288"/>
        </w:trPr>
        <w:tc>
          <w:tcPr>
            <w:tcW w:w="5398" w:type="dxa"/>
            <w:vMerge/>
            <w:tcBorders>
              <w:left w:val="single" w:sz="4" w:space="0" w:color="auto"/>
              <w:right w:val="single" w:sz="4" w:space="0" w:color="auto"/>
            </w:tcBorders>
            <w:vAlign w:val="center"/>
            <w:hideMark/>
          </w:tcPr>
          <w:p w14:paraId="64D8BEDD"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tcPr>
          <w:p w14:paraId="6A1F1786" w14:textId="2663CA0A" w:rsidR="004E6444" w:rsidRPr="004147E4" w:rsidRDefault="004E6444" w:rsidP="004E6444">
            <w:pPr>
              <w:spacing w:after="0"/>
              <w:jc w:val="left"/>
              <w:rPr>
                <w:rStyle w:val="markedcontent"/>
                <w:rFonts w:asciiTheme="minorHAnsi" w:hAnsiTheme="minorHAnsi" w:cstheme="minorHAnsi"/>
              </w:rPr>
            </w:pPr>
          </w:p>
        </w:tc>
      </w:tr>
      <w:tr w:rsidR="004E6444" w:rsidRPr="00BA701F" w14:paraId="56DDD8E9" w14:textId="77777777" w:rsidTr="00E747AA">
        <w:trPr>
          <w:trHeight w:val="288"/>
        </w:trPr>
        <w:tc>
          <w:tcPr>
            <w:tcW w:w="5398" w:type="dxa"/>
            <w:vMerge/>
            <w:tcBorders>
              <w:left w:val="single" w:sz="4" w:space="0" w:color="auto"/>
              <w:right w:val="single" w:sz="4" w:space="0" w:color="auto"/>
            </w:tcBorders>
            <w:vAlign w:val="center"/>
            <w:hideMark/>
          </w:tcPr>
          <w:p w14:paraId="4AE5ECEF"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71BF66F6" w14:textId="4A6DE52E" w:rsidR="004E6444" w:rsidRPr="004147E4" w:rsidRDefault="004E6444" w:rsidP="00BA63AA">
            <w:pPr>
              <w:spacing w:after="0"/>
              <w:jc w:val="left"/>
              <w:rPr>
                <w:rStyle w:val="markedcontent"/>
                <w:rFonts w:asciiTheme="minorHAnsi" w:hAnsiTheme="minorHAnsi" w:cstheme="minorHAnsi"/>
              </w:rPr>
            </w:pPr>
          </w:p>
        </w:tc>
      </w:tr>
      <w:tr w:rsidR="004E6444" w:rsidRPr="00BA701F" w14:paraId="1135B6BF" w14:textId="77777777" w:rsidTr="00143A07">
        <w:trPr>
          <w:trHeight w:val="288"/>
        </w:trPr>
        <w:tc>
          <w:tcPr>
            <w:tcW w:w="5398" w:type="dxa"/>
            <w:vMerge/>
            <w:tcBorders>
              <w:left w:val="single" w:sz="4" w:space="0" w:color="auto"/>
              <w:right w:val="single" w:sz="4" w:space="0" w:color="auto"/>
            </w:tcBorders>
            <w:vAlign w:val="center"/>
            <w:hideMark/>
          </w:tcPr>
          <w:p w14:paraId="17D75211"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tcPr>
          <w:p w14:paraId="3A740D79" w14:textId="249169A6" w:rsidR="004E6444" w:rsidRPr="004147E4" w:rsidRDefault="004E6444" w:rsidP="004E6444">
            <w:pPr>
              <w:spacing w:after="0"/>
              <w:jc w:val="left"/>
              <w:rPr>
                <w:rStyle w:val="markedcontent"/>
                <w:rFonts w:asciiTheme="minorHAnsi" w:hAnsiTheme="minorHAnsi" w:cstheme="minorHAnsi"/>
              </w:rPr>
            </w:pPr>
          </w:p>
        </w:tc>
      </w:tr>
      <w:tr w:rsidR="004E6444" w:rsidRPr="00BA701F" w14:paraId="0B5D48DC" w14:textId="77777777" w:rsidTr="004147E4">
        <w:trPr>
          <w:trHeight w:val="288"/>
        </w:trPr>
        <w:tc>
          <w:tcPr>
            <w:tcW w:w="5398" w:type="dxa"/>
            <w:vMerge/>
            <w:tcBorders>
              <w:left w:val="single" w:sz="4" w:space="0" w:color="auto"/>
              <w:right w:val="single" w:sz="4" w:space="0" w:color="auto"/>
            </w:tcBorders>
            <w:vAlign w:val="center"/>
            <w:hideMark/>
          </w:tcPr>
          <w:p w14:paraId="54B0846B" w14:textId="77777777" w:rsidR="004E6444" w:rsidRPr="00BA701F" w:rsidRDefault="004E6444" w:rsidP="004E6444">
            <w:pPr>
              <w:spacing w:after="0"/>
              <w:jc w:val="left"/>
              <w:rPr>
                <w:rFonts w:eastAsia="Times New Roman"/>
                <w:b/>
                <w:bCs/>
                <w:color w:val="000000"/>
              </w:rPr>
            </w:pPr>
          </w:p>
        </w:tc>
        <w:tc>
          <w:tcPr>
            <w:tcW w:w="5376" w:type="dxa"/>
            <w:tcBorders>
              <w:top w:val="single" w:sz="4" w:space="0" w:color="auto"/>
              <w:left w:val="nil"/>
              <w:bottom w:val="single" w:sz="4" w:space="0" w:color="auto"/>
              <w:right w:val="single" w:sz="4" w:space="0" w:color="auto"/>
            </w:tcBorders>
            <w:shd w:val="clear" w:color="auto" w:fill="auto"/>
            <w:noWrap/>
            <w:vAlign w:val="bottom"/>
            <w:hideMark/>
          </w:tcPr>
          <w:p w14:paraId="12D4DE35" w14:textId="106A5C74" w:rsidR="004E6444" w:rsidRPr="004147E4" w:rsidRDefault="004E6444" w:rsidP="004E6444">
            <w:pPr>
              <w:spacing w:after="0"/>
              <w:jc w:val="left"/>
              <w:rPr>
                <w:rStyle w:val="markedcontent"/>
                <w:rFonts w:asciiTheme="minorHAnsi" w:hAnsiTheme="minorHAnsi" w:cstheme="minorHAnsi"/>
              </w:rPr>
            </w:pPr>
          </w:p>
        </w:tc>
      </w:tr>
      <w:tr w:rsidR="004E6444" w:rsidRPr="00BA701F" w14:paraId="7B0EF42E" w14:textId="77777777" w:rsidTr="00E747AA">
        <w:trPr>
          <w:trHeight w:val="288"/>
        </w:trPr>
        <w:tc>
          <w:tcPr>
            <w:tcW w:w="5398" w:type="dxa"/>
            <w:vMerge/>
            <w:tcBorders>
              <w:left w:val="single" w:sz="4" w:space="0" w:color="auto"/>
              <w:right w:val="single" w:sz="4" w:space="0" w:color="auto"/>
            </w:tcBorders>
            <w:vAlign w:val="center"/>
            <w:hideMark/>
          </w:tcPr>
          <w:p w14:paraId="14C0DCD7"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45E4F16E" w14:textId="5B92AE70" w:rsidR="004E6444" w:rsidRPr="004147E4" w:rsidRDefault="004E6444" w:rsidP="004E6444">
            <w:pPr>
              <w:spacing w:after="0"/>
              <w:jc w:val="left"/>
              <w:rPr>
                <w:rStyle w:val="markedcontent"/>
                <w:rFonts w:asciiTheme="minorHAnsi" w:hAnsiTheme="minorHAnsi" w:cstheme="minorHAnsi"/>
              </w:rPr>
            </w:pPr>
          </w:p>
        </w:tc>
      </w:tr>
      <w:tr w:rsidR="004E6444" w:rsidRPr="00BA701F" w14:paraId="66CD4063" w14:textId="77777777" w:rsidTr="00E747AA">
        <w:trPr>
          <w:trHeight w:val="288"/>
        </w:trPr>
        <w:tc>
          <w:tcPr>
            <w:tcW w:w="5398" w:type="dxa"/>
            <w:vMerge/>
            <w:tcBorders>
              <w:left w:val="single" w:sz="4" w:space="0" w:color="auto"/>
              <w:right w:val="single" w:sz="4" w:space="0" w:color="auto"/>
            </w:tcBorders>
            <w:vAlign w:val="center"/>
            <w:hideMark/>
          </w:tcPr>
          <w:p w14:paraId="07BA8625"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19B8EF9E" w14:textId="10D2B781" w:rsidR="004E6444" w:rsidRPr="004147E4" w:rsidRDefault="004E6444" w:rsidP="004E6444">
            <w:pPr>
              <w:spacing w:after="0"/>
              <w:jc w:val="left"/>
              <w:rPr>
                <w:rStyle w:val="markedcontent"/>
                <w:rFonts w:asciiTheme="minorHAnsi" w:hAnsiTheme="minorHAnsi" w:cstheme="minorHAnsi"/>
              </w:rPr>
            </w:pPr>
          </w:p>
        </w:tc>
      </w:tr>
      <w:tr w:rsidR="004E6444" w:rsidRPr="00BA701F" w14:paraId="111E90D7" w14:textId="77777777" w:rsidTr="00E747AA">
        <w:trPr>
          <w:trHeight w:val="288"/>
        </w:trPr>
        <w:tc>
          <w:tcPr>
            <w:tcW w:w="5398" w:type="dxa"/>
            <w:vMerge/>
            <w:tcBorders>
              <w:left w:val="single" w:sz="4" w:space="0" w:color="auto"/>
              <w:bottom w:val="single" w:sz="4" w:space="0" w:color="auto"/>
              <w:right w:val="single" w:sz="4" w:space="0" w:color="auto"/>
            </w:tcBorders>
            <w:vAlign w:val="center"/>
            <w:hideMark/>
          </w:tcPr>
          <w:p w14:paraId="6B2BF472" w14:textId="77777777" w:rsidR="004E6444" w:rsidRPr="00BA701F" w:rsidRDefault="004E6444" w:rsidP="004E6444">
            <w:pPr>
              <w:spacing w:after="0"/>
              <w:jc w:val="left"/>
              <w:rPr>
                <w:rFonts w:eastAsia="Times New Roman"/>
                <w:b/>
                <w:bCs/>
                <w:color w:val="000000"/>
              </w:rPr>
            </w:pPr>
          </w:p>
        </w:tc>
        <w:tc>
          <w:tcPr>
            <w:tcW w:w="5376" w:type="dxa"/>
            <w:tcBorders>
              <w:top w:val="nil"/>
              <w:left w:val="nil"/>
              <w:bottom w:val="single" w:sz="4" w:space="0" w:color="auto"/>
              <w:right w:val="single" w:sz="4" w:space="0" w:color="auto"/>
            </w:tcBorders>
            <w:shd w:val="clear" w:color="auto" w:fill="auto"/>
            <w:noWrap/>
            <w:vAlign w:val="bottom"/>
            <w:hideMark/>
          </w:tcPr>
          <w:p w14:paraId="104DBB7E" w14:textId="603051D1" w:rsidR="004E6444" w:rsidRPr="00BA701F" w:rsidRDefault="004E6444" w:rsidP="004E6444">
            <w:pPr>
              <w:spacing w:after="0"/>
              <w:jc w:val="left"/>
              <w:rPr>
                <w:rFonts w:eastAsia="Times New Roman"/>
                <w:color w:val="000000"/>
              </w:rPr>
            </w:pPr>
          </w:p>
        </w:tc>
      </w:tr>
      <w:tr w:rsidR="004E6444" w:rsidRPr="00BA701F" w14:paraId="2DEC72EB" w14:textId="77777777" w:rsidTr="00106376">
        <w:trPr>
          <w:trHeight w:val="300"/>
        </w:trPr>
        <w:tc>
          <w:tcPr>
            <w:tcW w:w="5398" w:type="dxa"/>
            <w:tcBorders>
              <w:top w:val="nil"/>
              <w:left w:val="nil"/>
              <w:bottom w:val="nil"/>
              <w:right w:val="nil"/>
            </w:tcBorders>
            <w:shd w:val="clear" w:color="auto" w:fill="auto"/>
            <w:noWrap/>
            <w:vAlign w:val="bottom"/>
            <w:hideMark/>
          </w:tcPr>
          <w:p w14:paraId="5CA74732" w14:textId="77777777" w:rsidR="004E6444" w:rsidRPr="00BA701F" w:rsidRDefault="004E6444" w:rsidP="004E6444">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186320C2" w14:textId="77777777" w:rsidR="004E6444" w:rsidRPr="00BA701F" w:rsidRDefault="004E6444" w:rsidP="004E6444">
            <w:pPr>
              <w:spacing w:after="0"/>
              <w:jc w:val="left"/>
              <w:rPr>
                <w:rFonts w:ascii="Times New Roman" w:eastAsia="Times New Roman" w:hAnsi="Times New Roman" w:cs="Times New Roman"/>
                <w:sz w:val="20"/>
                <w:szCs w:val="20"/>
              </w:rPr>
            </w:pPr>
          </w:p>
        </w:tc>
      </w:tr>
      <w:tr w:rsidR="004E6444" w:rsidRPr="00BA701F" w14:paraId="46574C89" w14:textId="77777777" w:rsidTr="00106376">
        <w:trPr>
          <w:trHeight w:val="312"/>
        </w:trPr>
        <w:tc>
          <w:tcPr>
            <w:tcW w:w="10774" w:type="dxa"/>
            <w:gridSpan w:val="2"/>
            <w:tcBorders>
              <w:top w:val="single" w:sz="8" w:space="0" w:color="auto"/>
              <w:left w:val="single" w:sz="8" w:space="0" w:color="auto"/>
              <w:bottom w:val="nil"/>
              <w:right w:val="nil"/>
            </w:tcBorders>
            <w:shd w:val="clear" w:color="000000" w:fill="D9D9D9"/>
            <w:vAlign w:val="center"/>
            <w:hideMark/>
          </w:tcPr>
          <w:p w14:paraId="63015CF0" w14:textId="77777777" w:rsidR="004E6444" w:rsidRPr="00BA701F" w:rsidRDefault="004E6444" w:rsidP="004E6444">
            <w:pPr>
              <w:spacing w:after="0"/>
              <w:jc w:val="center"/>
              <w:rPr>
                <w:rFonts w:eastAsia="Times New Roman"/>
                <w:b/>
                <w:bCs/>
                <w:color w:val="000000"/>
                <w:sz w:val="24"/>
                <w:szCs w:val="24"/>
              </w:rPr>
            </w:pPr>
            <w:r w:rsidRPr="00BA701F">
              <w:rPr>
                <w:rFonts w:eastAsia="Times New Roman"/>
                <w:b/>
                <w:bCs/>
                <w:color w:val="000000"/>
                <w:sz w:val="24"/>
                <w:szCs w:val="24"/>
              </w:rPr>
              <w:t>Způsobilé výdaje</w:t>
            </w:r>
          </w:p>
        </w:tc>
      </w:tr>
      <w:tr w:rsidR="004E6444" w:rsidRPr="00BA701F" w14:paraId="5962B21E" w14:textId="77777777" w:rsidTr="00106376">
        <w:trPr>
          <w:trHeight w:val="288"/>
        </w:trPr>
        <w:tc>
          <w:tcPr>
            <w:tcW w:w="539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200C72" w14:textId="77777777" w:rsidR="004E6444" w:rsidRPr="00BA701F" w:rsidRDefault="004E6444" w:rsidP="004E6444">
            <w:pPr>
              <w:spacing w:after="0"/>
              <w:rPr>
                <w:rFonts w:eastAsia="Times New Roman"/>
                <w:b/>
                <w:bCs/>
                <w:color w:val="000000"/>
              </w:rPr>
            </w:pPr>
            <w:r w:rsidRPr="00BA701F">
              <w:rPr>
                <w:rFonts w:eastAsia="Times New Roman"/>
                <w:b/>
                <w:bCs/>
                <w:color w:val="000000"/>
              </w:rPr>
              <w:t>Věcná způsobilost</w:t>
            </w:r>
          </w:p>
        </w:tc>
        <w:tc>
          <w:tcPr>
            <w:tcW w:w="5376" w:type="dxa"/>
            <w:tcBorders>
              <w:top w:val="single" w:sz="4" w:space="0" w:color="auto"/>
              <w:left w:val="nil"/>
              <w:bottom w:val="single" w:sz="4" w:space="0" w:color="auto"/>
              <w:right w:val="single" w:sz="4" w:space="0" w:color="auto"/>
            </w:tcBorders>
            <w:shd w:val="clear" w:color="auto" w:fill="auto"/>
            <w:noWrap/>
            <w:vAlign w:val="bottom"/>
            <w:hideMark/>
          </w:tcPr>
          <w:p w14:paraId="4E8A41BD" w14:textId="77777777" w:rsidR="004E6444" w:rsidRDefault="004E6444" w:rsidP="004E6444">
            <w:pPr>
              <w:spacing w:after="0"/>
              <w:jc w:val="left"/>
              <w:rPr>
                <w:rFonts w:eastAsia="Times New Roman"/>
                <w:color w:val="000000"/>
              </w:rPr>
            </w:pPr>
            <w:r>
              <w:rPr>
                <w:rFonts w:eastAsia="Times New Roman"/>
                <w:color w:val="000000"/>
              </w:rPr>
              <w:t>Způsobilost výdajů se řídí Obecnými a Specifickými pravidly výzvy ŘO IROP.</w:t>
            </w:r>
          </w:p>
          <w:p w14:paraId="2908BEB6" w14:textId="27A988DC" w:rsidR="004E6444" w:rsidRPr="00AC1DC6" w:rsidRDefault="004E6444" w:rsidP="004E6444">
            <w:pPr>
              <w:spacing w:after="0"/>
              <w:jc w:val="left"/>
              <w:rPr>
                <w:rStyle w:val="markedcontent"/>
                <w:rFonts w:asciiTheme="minorHAnsi" w:hAnsiTheme="minorHAnsi" w:cstheme="minorHAnsi"/>
              </w:rPr>
            </w:pPr>
            <w:r w:rsidRPr="002E34AE">
              <w:rPr>
                <w:rStyle w:val="markedcontent"/>
                <w:rFonts w:asciiTheme="minorHAnsi" w:hAnsiTheme="minorHAnsi" w:cstheme="minorHAnsi"/>
              </w:rPr>
              <w:t xml:space="preserve">Způsobilé výdaje se dělí </w:t>
            </w:r>
            <w:proofErr w:type="gramStart"/>
            <w:r w:rsidRPr="002E34AE">
              <w:rPr>
                <w:rStyle w:val="markedcontent"/>
                <w:rFonts w:asciiTheme="minorHAnsi" w:hAnsiTheme="minorHAnsi" w:cstheme="minorHAnsi"/>
              </w:rPr>
              <w:t>na</w:t>
            </w:r>
            <w:proofErr w:type="gramEnd"/>
            <w:r w:rsidRPr="002E34AE">
              <w:rPr>
                <w:rStyle w:val="markedcontent"/>
                <w:rFonts w:asciiTheme="minorHAnsi" w:hAnsiTheme="minorHAnsi" w:cstheme="minorHAnsi"/>
              </w:rPr>
              <w:t>:</w:t>
            </w:r>
            <w:r w:rsidRPr="002E34AE">
              <w:rPr>
                <w:rFonts w:asciiTheme="minorHAnsi" w:hAnsiTheme="minorHAnsi" w:cstheme="minorHAnsi"/>
              </w:rPr>
              <w:br/>
            </w:r>
            <w:r w:rsidRPr="002E34AE">
              <w:rPr>
                <w:rStyle w:val="markedcontent"/>
                <w:rFonts w:asciiTheme="minorHAnsi" w:hAnsiTheme="minorHAnsi" w:cstheme="minorHAnsi"/>
              </w:rPr>
              <w:sym w:font="Symbol" w:char="F0B7"/>
            </w:r>
            <w:r w:rsidRPr="002E34AE">
              <w:rPr>
                <w:rStyle w:val="markedcontent"/>
                <w:rFonts w:asciiTheme="minorHAnsi" w:hAnsiTheme="minorHAnsi" w:cstheme="minorHAnsi"/>
              </w:rPr>
              <w:t xml:space="preserve"> přímé výdaje, které musí být doloženy daňovými,</w:t>
            </w:r>
            <w:r>
              <w:rPr>
                <w:rStyle w:val="markedcontent"/>
                <w:rFonts w:asciiTheme="minorHAnsi" w:hAnsiTheme="minorHAnsi" w:cstheme="minorHAnsi"/>
              </w:rPr>
              <w:t xml:space="preserve"> </w:t>
            </w:r>
            <w:r w:rsidRPr="002E34AE">
              <w:rPr>
                <w:rStyle w:val="markedcontent"/>
                <w:rFonts w:asciiTheme="minorHAnsi" w:hAnsiTheme="minorHAnsi" w:cstheme="minorHAnsi"/>
              </w:rPr>
              <w:t>účetními či dalšími doklady dle</w:t>
            </w:r>
            <w:r>
              <w:rPr>
                <w:rFonts w:asciiTheme="minorHAnsi" w:hAnsiTheme="minorHAnsi" w:cstheme="minorHAnsi"/>
              </w:rPr>
              <w:t xml:space="preserve"> </w:t>
            </w:r>
            <w:r w:rsidRPr="002E34AE">
              <w:rPr>
                <w:rStyle w:val="markedcontent"/>
                <w:rFonts w:asciiTheme="minorHAnsi" w:hAnsiTheme="minorHAnsi" w:cstheme="minorHAnsi"/>
              </w:rPr>
              <w:t xml:space="preserve">kapitoly </w:t>
            </w:r>
            <w:r w:rsidR="00C12F51">
              <w:rPr>
                <w:rStyle w:val="markedcontent"/>
                <w:rFonts w:asciiTheme="minorHAnsi" w:hAnsiTheme="minorHAnsi" w:cstheme="minorHAnsi"/>
              </w:rPr>
              <w:t xml:space="preserve">4.4 </w:t>
            </w:r>
            <w:r w:rsidRPr="002E34AE">
              <w:rPr>
                <w:rStyle w:val="markedcontent"/>
                <w:rFonts w:asciiTheme="minorHAnsi" w:hAnsiTheme="minorHAnsi" w:cstheme="minorHAnsi"/>
              </w:rPr>
              <w:t>Specifických pravidel</w:t>
            </w:r>
            <w:r>
              <w:rPr>
                <w:rStyle w:val="markedcontent"/>
                <w:rFonts w:asciiTheme="minorHAnsi" w:hAnsiTheme="minorHAnsi" w:cstheme="minorHAnsi"/>
              </w:rPr>
              <w:t xml:space="preserve"> pro žadatele a příjemce</w:t>
            </w:r>
            <w:r w:rsidRPr="002E34AE">
              <w:rPr>
                <w:rStyle w:val="markedcontent"/>
                <w:rFonts w:asciiTheme="minorHAnsi" w:hAnsiTheme="minorHAnsi" w:cstheme="minorHAnsi"/>
              </w:rPr>
              <w:t xml:space="preserve"> a na jejichž základě dojde k</w:t>
            </w:r>
            <w:r>
              <w:rPr>
                <w:rStyle w:val="markedcontent"/>
                <w:rFonts w:asciiTheme="minorHAnsi" w:hAnsiTheme="minorHAnsi" w:cstheme="minorHAnsi"/>
              </w:rPr>
              <w:t> </w:t>
            </w:r>
            <w:r w:rsidRPr="002E34AE">
              <w:rPr>
                <w:rStyle w:val="markedcontent"/>
                <w:rFonts w:asciiTheme="minorHAnsi" w:hAnsiTheme="minorHAnsi" w:cstheme="minorHAnsi"/>
              </w:rPr>
              <w:t>výpočtu</w:t>
            </w:r>
            <w:r w:rsidRPr="002E34AE">
              <w:rPr>
                <w:rStyle w:val="markedcontent"/>
              </w:rPr>
              <w:t xml:space="preserve"> </w:t>
            </w:r>
            <w:r w:rsidRPr="002E34AE">
              <w:rPr>
                <w:rStyle w:val="markedcontent"/>
                <w:rFonts w:asciiTheme="minorHAnsi" w:hAnsiTheme="minorHAnsi" w:cstheme="minorHAnsi"/>
              </w:rPr>
              <w:t>paušálních nákladů,</w:t>
            </w:r>
            <w:r w:rsidRPr="002E34AE">
              <w:rPr>
                <w:rStyle w:val="markedcontent"/>
              </w:rPr>
              <w:br/>
            </w:r>
            <w:r w:rsidRPr="002E34AE">
              <w:rPr>
                <w:rStyle w:val="markedcontent"/>
                <w:rFonts w:asciiTheme="minorHAnsi" w:hAnsiTheme="minorHAnsi" w:cstheme="minorHAnsi"/>
              </w:rPr>
              <w:sym w:font="Symbol" w:char="F0B7"/>
            </w:r>
            <w:r w:rsidRPr="00AC1DC6">
              <w:rPr>
                <w:rStyle w:val="markedcontent"/>
                <w:rFonts w:asciiTheme="minorHAnsi" w:hAnsiTheme="minorHAnsi" w:cstheme="minorHAnsi"/>
              </w:rPr>
              <w:t xml:space="preserve"> nepřímé, paušální náklady, jejichž výše je stanovena za pomoci paušální sazby</w:t>
            </w:r>
            <w:r w:rsidRPr="002E34AE">
              <w:rPr>
                <w:rStyle w:val="markedcontent"/>
              </w:rPr>
              <w:t xml:space="preserve"> </w:t>
            </w:r>
            <w:r w:rsidRPr="00AC1DC6">
              <w:rPr>
                <w:rStyle w:val="markedcontent"/>
                <w:rFonts w:asciiTheme="minorHAnsi" w:hAnsiTheme="minorHAnsi" w:cstheme="minorHAnsi"/>
              </w:rPr>
              <w:t>a které není potřeba prokazovat daňovými, účetními či dalšími doklady. Při financování projektu bude využita paušální sazba ve výši 7 % na paušální náklady.</w:t>
            </w:r>
          </w:p>
          <w:p w14:paraId="4F8917CB" w14:textId="77777777" w:rsidR="004E6444" w:rsidRPr="002E34AE" w:rsidRDefault="004E6444" w:rsidP="004E6444">
            <w:pPr>
              <w:spacing w:after="0"/>
              <w:jc w:val="left"/>
              <w:rPr>
                <w:rFonts w:asciiTheme="minorHAnsi" w:eastAsia="Times New Roman" w:hAnsiTheme="minorHAnsi" w:cstheme="minorHAnsi"/>
                <w:color w:val="000000"/>
              </w:rPr>
            </w:pPr>
            <w:r w:rsidRPr="002E34AE">
              <w:rPr>
                <w:rStyle w:val="markedcontent"/>
                <w:rFonts w:asciiTheme="minorHAnsi" w:hAnsiTheme="minorHAnsi" w:cstheme="minorHAnsi"/>
              </w:rPr>
              <w:t>Náklady, na</w:t>
            </w:r>
            <w:r w:rsidRPr="002E34AE">
              <w:rPr>
                <w:rStyle w:val="markedcontent"/>
              </w:rPr>
              <w:t xml:space="preserve"> </w:t>
            </w:r>
            <w:r w:rsidRPr="002E34AE">
              <w:rPr>
                <w:rStyle w:val="markedcontent"/>
                <w:rFonts w:asciiTheme="minorHAnsi" w:hAnsiTheme="minorHAnsi" w:cstheme="minorHAnsi"/>
              </w:rPr>
              <w:t>jejichž financování je použita paušální sazba, nelze zahrnout mezi přímé výdaje</w:t>
            </w:r>
            <w:r>
              <w:rPr>
                <w:rFonts w:asciiTheme="minorHAnsi" w:hAnsiTheme="minorHAnsi" w:cstheme="minorHAnsi"/>
              </w:rPr>
              <w:t xml:space="preserve"> </w:t>
            </w:r>
            <w:r w:rsidRPr="002E34AE">
              <w:rPr>
                <w:rStyle w:val="markedcontent"/>
                <w:rFonts w:asciiTheme="minorHAnsi" w:hAnsiTheme="minorHAnsi" w:cstheme="minorHAnsi"/>
              </w:rPr>
              <w:t>projektu.</w:t>
            </w:r>
          </w:p>
        </w:tc>
      </w:tr>
      <w:tr w:rsidR="004E6444" w:rsidRPr="00BA701F" w14:paraId="09F2DDFB"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3A580DE7" w14:textId="77777777" w:rsidR="004E6444" w:rsidRPr="00BA701F" w:rsidRDefault="004E6444" w:rsidP="004E6444">
            <w:pPr>
              <w:spacing w:after="0"/>
              <w:rPr>
                <w:rFonts w:eastAsia="Times New Roman"/>
                <w:b/>
                <w:bCs/>
                <w:color w:val="000000"/>
              </w:rPr>
            </w:pPr>
            <w:r w:rsidRPr="00BA701F">
              <w:rPr>
                <w:rFonts w:eastAsia="Times New Roman"/>
                <w:b/>
                <w:bCs/>
                <w:color w:val="000000"/>
              </w:rPr>
              <w:t>Časová způsobilost</w:t>
            </w:r>
          </w:p>
        </w:tc>
        <w:tc>
          <w:tcPr>
            <w:tcW w:w="5376" w:type="dxa"/>
            <w:tcBorders>
              <w:top w:val="nil"/>
              <w:left w:val="nil"/>
              <w:bottom w:val="single" w:sz="4" w:space="0" w:color="auto"/>
              <w:right w:val="single" w:sz="4" w:space="0" w:color="auto"/>
            </w:tcBorders>
            <w:shd w:val="clear" w:color="auto" w:fill="auto"/>
            <w:noWrap/>
            <w:vAlign w:val="bottom"/>
            <w:hideMark/>
          </w:tcPr>
          <w:p w14:paraId="5F1A2B10" w14:textId="77777777" w:rsidR="004E6444" w:rsidRPr="00BA701F" w:rsidRDefault="004E6444" w:rsidP="004E6444">
            <w:pPr>
              <w:spacing w:after="0"/>
              <w:jc w:val="left"/>
              <w:rPr>
                <w:rFonts w:eastAsia="Times New Roman"/>
                <w:color w:val="000000"/>
              </w:rPr>
            </w:pPr>
            <w:r>
              <w:rPr>
                <w:rFonts w:eastAsia="Times New Roman"/>
                <w:color w:val="000000"/>
              </w:rPr>
              <w:t xml:space="preserve">Je dána obdobím od data zahájení realizace projektu po datum ukončení realizace projektu. </w:t>
            </w:r>
            <w:r w:rsidRPr="00055872">
              <w:rPr>
                <w:rFonts w:eastAsia="Times New Roman"/>
                <w:color w:val="000000"/>
              </w:rPr>
              <w:t>Datem zahájení realizace projektu se rozumí datum prvního právního úkonu týkajícího se aktivit projektu, na které jsou vynaloženy způsobilé výdaje.</w:t>
            </w:r>
          </w:p>
        </w:tc>
      </w:tr>
      <w:tr w:rsidR="004E6444" w:rsidRPr="00BA701F" w14:paraId="69A0E4C2" w14:textId="77777777" w:rsidTr="00627227">
        <w:trPr>
          <w:trHeight w:val="1027"/>
        </w:trPr>
        <w:tc>
          <w:tcPr>
            <w:tcW w:w="5398" w:type="dxa"/>
            <w:tcBorders>
              <w:top w:val="nil"/>
              <w:left w:val="single" w:sz="4" w:space="0" w:color="auto"/>
              <w:bottom w:val="single" w:sz="4" w:space="0" w:color="auto"/>
              <w:right w:val="single" w:sz="4" w:space="0" w:color="auto"/>
            </w:tcBorders>
            <w:shd w:val="clear" w:color="000000" w:fill="D9D9D9"/>
            <w:vAlign w:val="center"/>
          </w:tcPr>
          <w:p w14:paraId="5C0C32B1" w14:textId="4FFBFB89" w:rsidR="004E6444" w:rsidRPr="00BA701F" w:rsidRDefault="004E6444" w:rsidP="004E6444">
            <w:pPr>
              <w:spacing w:after="0"/>
              <w:rPr>
                <w:rFonts w:eastAsia="Times New Roman"/>
                <w:b/>
                <w:bCs/>
                <w:color w:val="000000"/>
              </w:rPr>
            </w:pPr>
            <w:r>
              <w:rPr>
                <w:rFonts w:eastAsia="Times New Roman"/>
                <w:b/>
                <w:bCs/>
                <w:color w:val="000000"/>
              </w:rPr>
              <w:t xml:space="preserve">Finanční limity Výzvy </w:t>
            </w:r>
          </w:p>
        </w:tc>
        <w:tc>
          <w:tcPr>
            <w:tcW w:w="5376" w:type="dxa"/>
            <w:tcBorders>
              <w:top w:val="nil"/>
              <w:left w:val="nil"/>
              <w:bottom w:val="single" w:sz="4" w:space="0" w:color="auto"/>
              <w:right w:val="single" w:sz="4" w:space="0" w:color="auto"/>
            </w:tcBorders>
            <w:shd w:val="clear" w:color="auto" w:fill="auto"/>
            <w:noWrap/>
            <w:vAlign w:val="bottom"/>
          </w:tcPr>
          <w:p w14:paraId="13DAB115" w14:textId="77777777" w:rsidR="004E6444" w:rsidRPr="004A6CC8" w:rsidRDefault="004A6CC8" w:rsidP="004A6CC8">
            <w:pPr>
              <w:pStyle w:val="Odstavecseseznamem"/>
              <w:numPr>
                <w:ilvl w:val="0"/>
                <w:numId w:val="21"/>
              </w:numPr>
              <w:spacing w:after="0"/>
              <w:jc w:val="left"/>
              <w:rPr>
                <w:rFonts w:eastAsia="Times New Roman"/>
                <w:b/>
                <w:color w:val="000000"/>
              </w:rPr>
            </w:pPr>
            <w:r>
              <w:t>paušální sazba ve výši 7 % na paušální náklady</w:t>
            </w:r>
          </w:p>
          <w:p w14:paraId="5B01A842" w14:textId="7B5EC4A9" w:rsidR="004A6CC8" w:rsidRPr="004A6CC8" w:rsidRDefault="004A6CC8" w:rsidP="004A6CC8">
            <w:pPr>
              <w:pStyle w:val="Odstavecseseznamem"/>
              <w:numPr>
                <w:ilvl w:val="0"/>
                <w:numId w:val="21"/>
              </w:numPr>
              <w:spacing w:after="0"/>
              <w:jc w:val="left"/>
              <w:rPr>
                <w:rFonts w:eastAsia="Times New Roman"/>
                <w:b/>
                <w:color w:val="000000"/>
              </w:rPr>
            </w:pPr>
            <w:r>
              <w:t>pořizovací cena pozemků může být započtena maximálně do výše 10 % celkových způsobilých výdajů na projekt</w:t>
            </w:r>
            <w:r w:rsidR="00247460">
              <w:t>. V případě nemovitostí dříve používaných k jiným účelům</w:t>
            </w:r>
            <w:r w:rsidR="00247460">
              <w:rPr>
                <w:sz w:val="14"/>
                <w:szCs w:val="14"/>
              </w:rPr>
              <w:t>18</w:t>
            </w:r>
            <w:r w:rsidR="00247460">
              <w:t>, které zahrnují budovy, se tento limit zvýší na 15 %.</w:t>
            </w:r>
          </w:p>
        </w:tc>
      </w:tr>
      <w:tr w:rsidR="004E6444" w:rsidRPr="00BA701F" w14:paraId="7FD43B09" w14:textId="77777777" w:rsidTr="00106376">
        <w:trPr>
          <w:trHeight w:val="288"/>
        </w:trPr>
        <w:tc>
          <w:tcPr>
            <w:tcW w:w="5398" w:type="dxa"/>
            <w:tcBorders>
              <w:top w:val="nil"/>
              <w:left w:val="nil"/>
              <w:bottom w:val="nil"/>
              <w:right w:val="nil"/>
            </w:tcBorders>
            <w:shd w:val="clear" w:color="auto" w:fill="auto"/>
            <w:noWrap/>
            <w:vAlign w:val="bottom"/>
            <w:hideMark/>
          </w:tcPr>
          <w:p w14:paraId="453A9F81" w14:textId="77777777" w:rsidR="004E6444" w:rsidRPr="00BA701F" w:rsidRDefault="004E6444" w:rsidP="004E6444">
            <w:pPr>
              <w:spacing w:after="0"/>
              <w:jc w:val="left"/>
              <w:rPr>
                <w:rFonts w:eastAsia="Times New Roman"/>
                <w:color w:val="000000"/>
              </w:rPr>
            </w:pPr>
          </w:p>
        </w:tc>
        <w:tc>
          <w:tcPr>
            <w:tcW w:w="5376" w:type="dxa"/>
            <w:tcBorders>
              <w:top w:val="nil"/>
              <w:left w:val="nil"/>
              <w:bottom w:val="nil"/>
              <w:right w:val="nil"/>
            </w:tcBorders>
            <w:shd w:val="clear" w:color="auto" w:fill="auto"/>
            <w:noWrap/>
            <w:vAlign w:val="bottom"/>
            <w:hideMark/>
          </w:tcPr>
          <w:p w14:paraId="7505EFFA" w14:textId="77777777" w:rsidR="004E6444" w:rsidRPr="00BA701F" w:rsidRDefault="004E6444" w:rsidP="004E6444">
            <w:pPr>
              <w:spacing w:after="0"/>
              <w:jc w:val="left"/>
              <w:rPr>
                <w:rFonts w:ascii="Times New Roman" w:eastAsia="Times New Roman" w:hAnsi="Times New Roman" w:cs="Times New Roman"/>
                <w:sz w:val="20"/>
                <w:szCs w:val="20"/>
              </w:rPr>
            </w:pPr>
          </w:p>
        </w:tc>
      </w:tr>
      <w:tr w:rsidR="004E6444" w:rsidRPr="00BA701F" w14:paraId="1FA33F66" w14:textId="77777777" w:rsidTr="00106376">
        <w:trPr>
          <w:trHeight w:val="312"/>
        </w:trPr>
        <w:tc>
          <w:tcPr>
            <w:tcW w:w="107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E9B3CC" w14:textId="77777777" w:rsidR="004E6444" w:rsidRPr="00BA701F" w:rsidRDefault="004E6444" w:rsidP="004E6444">
            <w:pPr>
              <w:spacing w:after="0"/>
              <w:jc w:val="center"/>
              <w:rPr>
                <w:rFonts w:eastAsia="Times New Roman"/>
                <w:b/>
                <w:bCs/>
                <w:color w:val="000000"/>
                <w:sz w:val="24"/>
                <w:szCs w:val="24"/>
              </w:rPr>
            </w:pPr>
            <w:r w:rsidRPr="00BA701F">
              <w:rPr>
                <w:rFonts w:eastAsia="Times New Roman"/>
                <w:b/>
                <w:bCs/>
                <w:color w:val="000000"/>
                <w:sz w:val="24"/>
                <w:szCs w:val="24"/>
              </w:rPr>
              <w:t>Další detaily výzvy</w:t>
            </w:r>
          </w:p>
        </w:tc>
      </w:tr>
      <w:tr w:rsidR="004E6444" w:rsidRPr="00BA701F" w14:paraId="6B5DC6D7"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54C3FEED"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Způsob hodnocení projektů</w:t>
            </w:r>
          </w:p>
        </w:tc>
        <w:tc>
          <w:tcPr>
            <w:tcW w:w="5376" w:type="dxa"/>
            <w:tcBorders>
              <w:top w:val="nil"/>
              <w:left w:val="nil"/>
              <w:bottom w:val="single" w:sz="4" w:space="0" w:color="auto"/>
              <w:right w:val="single" w:sz="4" w:space="0" w:color="auto"/>
            </w:tcBorders>
            <w:shd w:val="clear" w:color="auto" w:fill="auto"/>
            <w:noWrap/>
            <w:vAlign w:val="bottom"/>
            <w:hideMark/>
          </w:tcPr>
          <w:p w14:paraId="7E179FE3" w14:textId="63156E09" w:rsidR="004E6444" w:rsidRPr="00BA701F" w:rsidRDefault="004E6444" w:rsidP="004E6444">
            <w:pPr>
              <w:spacing w:after="0"/>
              <w:jc w:val="left"/>
              <w:rPr>
                <w:rFonts w:eastAsia="Times New Roman"/>
                <w:color w:val="000000"/>
              </w:rPr>
            </w:pPr>
            <w:r>
              <w:rPr>
                <w:rFonts w:eastAsia="Times New Roman"/>
                <w:color w:val="000000"/>
              </w:rPr>
              <w:t>Způsob hodnocení projektů upravují Interní postupy Kyjovského Slovácka v </w:t>
            </w:r>
            <w:proofErr w:type="gramStart"/>
            <w:r>
              <w:rPr>
                <w:rFonts w:eastAsia="Times New Roman"/>
                <w:color w:val="000000"/>
              </w:rPr>
              <w:t>pohybu, z.s.</w:t>
            </w:r>
            <w:proofErr w:type="gramEnd"/>
            <w:r>
              <w:rPr>
                <w:rFonts w:eastAsia="Times New Roman"/>
                <w:color w:val="000000"/>
              </w:rPr>
              <w:t xml:space="preserve"> IROP 2021 – 2027 v kapitole č. 5 viz odkaz níže. </w:t>
            </w:r>
          </w:p>
        </w:tc>
      </w:tr>
      <w:tr w:rsidR="004E6444" w:rsidRPr="00BA701F" w14:paraId="24AC2795"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07A21E38"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Kritéria pro hodnocení projektů</w:t>
            </w:r>
          </w:p>
        </w:tc>
        <w:tc>
          <w:tcPr>
            <w:tcW w:w="5376" w:type="dxa"/>
            <w:tcBorders>
              <w:top w:val="nil"/>
              <w:left w:val="nil"/>
              <w:bottom w:val="single" w:sz="4" w:space="0" w:color="auto"/>
              <w:right w:val="single" w:sz="4" w:space="0" w:color="auto"/>
            </w:tcBorders>
            <w:shd w:val="clear" w:color="auto" w:fill="auto"/>
            <w:noWrap/>
            <w:vAlign w:val="bottom"/>
            <w:hideMark/>
          </w:tcPr>
          <w:p w14:paraId="728FB96F" w14:textId="77777777" w:rsidR="004E6444" w:rsidRDefault="004E6444" w:rsidP="004E6444">
            <w:pPr>
              <w:spacing w:after="0"/>
              <w:jc w:val="left"/>
              <w:rPr>
                <w:rFonts w:eastAsia="Times New Roman"/>
                <w:color w:val="000000"/>
              </w:rPr>
            </w:pPr>
            <w:r>
              <w:rPr>
                <w:rFonts w:eastAsia="Times New Roman"/>
                <w:color w:val="000000"/>
              </w:rPr>
              <w:t>Kritéria pro hodnocení projektů jsou přílohou této výzvy. Kritéria jsou stanovena pro administrativní i věcnou fázi posouzení souladu. Tvorbu kritérií upravují podrobně upravují Interní postupy Kyjovského Slovácka v </w:t>
            </w:r>
            <w:proofErr w:type="gramStart"/>
            <w:r>
              <w:rPr>
                <w:rFonts w:eastAsia="Times New Roman"/>
                <w:color w:val="000000"/>
              </w:rPr>
              <w:t>pohybu, z.s.</w:t>
            </w:r>
            <w:proofErr w:type="gramEnd"/>
            <w:r>
              <w:rPr>
                <w:rFonts w:eastAsia="Times New Roman"/>
                <w:color w:val="000000"/>
              </w:rPr>
              <w:t xml:space="preserve"> IROP 2021 – 2027 v kapitole č. 3 viz odkaz níže.</w:t>
            </w:r>
          </w:p>
          <w:p w14:paraId="716E0469" w14:textId="0EC9C878" w:rsidR="00BF26A4" w:rsidRPr="00BA701F" w:rsidRDefault="00BF26A4" w:rsidP="004E6444">
            <w:pPr>
              <w:spacing w:after="0"/>
              <w:jc w:val="left"/>
              <w:rPr>
                <w:rFonts w:eastAsia="Times New Roman"/>
                <w:color w:val="000000"/>
              </w:rPr>
            </w:pPr>
            <w:r>
              <w:rPr>
                <w:rFonts w:eastAsia="Times New Roman"/>
                <w:color w:val="000000"/>
              </w:rPr>
              <w:t>MAS si vyhrazuje právo vyžádat si  ke dni ukončení realizace projektu dokumenty prokazující naplnění preferenčních kritérií věcné fáze procesu souladu projektového záměru se SCLLD.</w:t>
            </w:r>
          </w:p>
        </w:tc>
      </w:tr>
      <w:tr w:rsidR="004E6444" w:rsidRPr="00BA701F" w14:paraId="58F0119C" w14:textId="77777777" w:rsidTr="006B7EF3">
        <w:trPr>
          <w:trHeight w:val="2133"/>
        </w:trPr>
        <w:tc>
          <w:tcPr>
            <w:tcW w:w="5398" w:type="dxa"/>
            <w:tcBorders>
              <w:top w:val="nil"/>
              <w:left w:val="single" w:sz="4" w:space="0" w:color="auto"/>
              <w:bottom w:val="single" w:sz="4" w:space="0" w:color="auto"/>
              <w:right w:val="single" w:sz="4" w:space="0" w:color="auto"/>
            </w:tcBorders>
            <w:shd w:val="clear" w:color="000000" w:fill="D9D9D9"/>
            <w:vAlign w:val="center"/>
          </w:tcPr>
          <w:p w14:paraId="102F101C" w14:textId="3E3F791A" w:rsidR="004E6444" w:rsidRPr="00BA701F" w:rsidRDefault="004E6444" w:rsidP="004E6444">
            <w:pPr>
              <w:spacing w:after="0"/>
              <w:jc w:val="left"/>
              <w:rPr>
                <w:rFonts w:eastAsia="Times New Roman"/>
                <w:b/>
                <w:bCs/>
                <w:color w:val="000000"/>
              </w:rPr>
            </w:pPr>
            <w:r>
              <w:rPr>
                <w:rFonts w:eastAsia="Times New Roman"/>
                <w:b/>
                <w:bCs/>
                <w:color w:val="000000"/>
              </w:rPr>
              <w:t xml:space="preserve">Lhůta platnosti </w:t>
            </w:r>
            <w:r w:rsidRPr="006B5A7B">
              <w:rPr>
                <w:rFonts w:eastAsia="Times New Roman"/>
                <w:b/>
                <w:bCs/>
                <w:color w:val="000000"/>
              </w:rPr>
              <w:t>Vyjádření MAS o souladu/nesouladu projektového záměru/náhradního projektového záměru se SCLLD 21-27</w:t>
            </w:r>
          </w:p>
        </w:tc>
        <w:tc>
          <w:tcPr>
            <w:tcW w:w="5376" w:type="dxa"/>
            <w:tcBorders>
              <w:top w:val="nil"/>
              <w:left w:val="nil"/>
              <w:bottom w:val="single" w:sz="4" w:space="0" w:color="auto"/>
              <w:right w:val="single" w:sz="4" w:space="0" w:color="auto"/>
            </w:tcBorders>
            <w:shd w:val="clear" w:color="auto" w:fill="auto"/>
            <w:noWrap/>
            <w:vAlign w:val="center"/>
          </w:tcPr>
          <w:p w14:paraId="2A6BE3F6" w14:textId="69B4B766" w:rsidR="004E6444" w:rsidRDefault="004E6444" w:rsidP="006B7EF3">
            <w:pPr>
              <w:spacing w:after="0"/>
              <w:jc w:val="left"/>
              <w:rPr>
                <w:rFonts w:eastAsia="Times New Roman"/>
                <w:color w:val="000000"/>
              </w:rPr>
            </w:pPr>
            <w:r>
              <w:rPr>
                <w:rFonts w:eastAsia="Times New Roman"/>
                <w:color w:val="000000"/>
              </w:rPr>
              <w:t xml:space="preserve">Lhůta platnosti </w:t>
            </w:r>
            <w:r w:rsidRPr="001949C6">
              <w:rPr>
                <w:rFonts w:eastAsia="Times New Roman"/>
                <w:color w:val="000000"/>
              </w:rPr>
              <w:t xml:space="preserve">Vyjádření MAS o souladu/nesouladu projektového záměru/náhradního projektového záměru se SCLLD 21-27 </w:t>
            </w:r>
            <w:r w:rsidRPr="000F6E92">
              <w:rPr>
                <w:rFonts w:eastAsia="Times New Roman"/>
                <w:color w:val="000000"/>
              </w:rPr>
              <w:t>je stanovena na</w:t>
            </w:r>
            <w:r w:rsidR="00DE6388">
              <w:rPr>
                <w:rFonts w:eastAsia="Times New Roman"/>
                <w:color w:val="000000"/>
              </w:rPr>
              <w:t xml:space="preserve"> 30. 9</w:t>
            </w:r>
            <w:r>
              <w:rPr>
                <w:rFonts w:eastAsia="Times New Roman"/>
                <w:color w:val="000000"/>
              </w:rPr>
              <w:t>. 2024.</w:t>
            </w:r>
          </w:p>
          <w:p w14:paraId="44CBAAF6" w14:textId="77777777" w:rsidR="006B7EF3" w:rsidRDefault="004E6444" w:rsidP="006B7EF3">
            <w:pPr>
              <w:spacing w:after="0"/>
              <w:jc w:val="left"/>
              <w:rPr>
                <w:rFonts w:eastAsia="Times New Roman"/>
                <w:color w:val="000000"/>
              </w:rPr>
            </w:pPr>
            <w:r>
              <w:rPr>
                <w:rFonts w:eastAsia="Times New Roman"/>
                <w:color w:val="000000"/>
              </w:rPr>
              <w:t xml:space="preserve">Konkrétní datum bude uvedeno na </w:t>
            </w:r>
            <w:bookmarkStart w:id="0" w:name="_GoBack"/>
            <w:bookmarkEnd w:id="0"/>
            <w:r>
              <w:rPr>
                <w:rFonts w:eastAsia="Times New Roman"/>
                <w:color w:val="000000"/>
              </w:rPr>
              <w:t xml:space="preserve">dokumentu </w:t>
            </w:r>
            <w:r w:rsidRPr="001949C6">
              <w:rPr>
                <w:rFonts w:eastAsia="Times New Roman"/>
                <w:color w:val="000000"/>
              </w:rPr>
              <w:t>Vyjádření MAS o</w:t>
            </w:r>
            <w:r>
              <w:rPr>
                <w:rFonts w:eastAsia="Times New Roman"/>
                <w:color w:val="000000"/>
              </w:rPr>
              <w:t xml:space="preserve"> souladu/nesouladu projektového </w:t>
            </w:r>
            <w:r w:rsidRPr="001949C6">
              <w:rPr>
                <w:rFonts w:eastAsia="Times New Roman"/>
                <w:color w:val="000000"/>
              </w:rPr>
              <w:t>záměru/náhradního projektového záměru se SCLLD 21-27</w:t>
            </w:r>
            <w:r>
              <w:rPr>
                <w:rFonts w:eastAsia="Times New Roman"/>
                <w:color w:val="000000"/>
              </w:rPr>
              <w:t>.</w:t>
            </w:r>
          </w:p>
          <w:p w14:paraId="7889C8FA" w14:textId="6FF582F2" w:rsidR="004E6444" w:rsidRDefault="004E6444" w:rsidP="006B7EF3">
            <w:pPr>
              <w:spacing w:after="0"/>
              <w:jc w:val="left"/>
              <w:rPr>
                <w:rFonts w:eastAsia="Times New Roman"/>
                <w:color w:val="000000"/>
              </w:rPr>
            </w:pPr>
          </w:p>
        </w:tc>
      </w:tr>
      <w:tr w:rsidR="004E6444" w:rsidRPr="00BA701F" w14:paraId="7039FBC9"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tcPr>
          <w:p w14:paraId="734B6918" w14:textId="6D41EE33" w:rsidR="004E6444" w:rsidRPr="00BA701F" w:rsidRDefault="004E6444" w:rsidP="004E6444">
            <w:pPr>
              <w:spacing w:after="0"/>
              <w:jc w:val="left"/>
              <w:rPr>
                <w:rFonts w:eastAsia="Times New Roman"/>
                <w:b/>
                <w:bCs/>
                <w:color w:val="000000"/>
              </w:rPr>
            </w:pPr>
            <w:r w:rsidRPr="00383C8B">
              <w:rPr>
                <w:rFonts w:eastAsia="Times New Roman"/>
                <w:b/>
                <w:bCs/>
                <w:color w:val="000000"/>
              </w:rPr>
              <w:t>Postup vybraných projektů k podpoře po vydání souladu projektového záměru se SCLLD</w:t>
            </w:r>
          </w:p>
        </w:tc>
        <w:tc>
          <w:tcPr>
            <w:tcW w:w="5376" w:type="dxa"/>
            <w:tcBorders>
              <w:top w:val="nil"/>
              <w:left w:val="nil"/>
              <w:bottom w:val="single" w:sz="4" w:space="0" w:color="auto"/>
              <w:right w:val="single" w:sz="4" w:space="0" w:color="auto"/>
            </w:tcBorders>
            <w:shd w:val="clear" w:color="auto" w:fill="auto"/>
            <w:noWrap/>
            <w:vAlign w:val="bottom"/>
          </w:tcPr>
          <w:p w14:paraId="5486D733" w14:textId="53FAAC79" w:rsidR="004E6444" w:rsidRDefault="004E6444" w:rsidP="004E6444">
            <w:pPr>
              <w:spacing w:after="0"/>
              <w:jc w:val="left"/>
              <w:rPr>
                <w:rFonts w:eastAsia="Times New Roman"/>
                <w:color w:val="000000"/>
              </w:rPr>
            </w:pPr>
            <w:r>
              <w:rPr>
                <w:rFonts w:eastAsia="Times New Roman"/>
                <w:color w:val="000000"/>
              </w:rPr>
              <w:t>Postupy vybraných projektů k podpoře po vydání souladu projektového záměru se SCLLD upravují Interní postupy  Kyjovského Slovácka v </w:t>
            </w:r>
            <w:proofErr w:type="gramStart"/>
            <w:r>
              <w:rPr>
                <w:rFonts w:eastAsia="Times New Roman"/>
                <w:color w:val="000000"/>
              </w:rPr>
              <w:t>pohybu, z.s.</w:t>
            </w:r>
            <w:proofErr w:type="gramEnd"/>
            <w:r>
              <w:rPr>
                <w:rFonts w:eastAsia="Times New Roman"/>
                <w:color w:val="000000"/>
              </w:rPr>
              <w:t xml:space="preserve"> IROP 2021 – 2027 v kapitole č. 7.</w:t>
            </w:r>
          </w:p>
          <w:p w14:paraId="2F0BBC0D" w14:textId="0DC876E9" w:rsidR="004E6444" w:rsidRDefault="004E6444" w:rsidP="004E6444">
            <w:pPr>
              <w:spacing w:after="0"/>
              <w:jc w:val="left"/>
              <w:rPr>
                <w:rFonts w:eastAsia="Times New Roman"/>
                <w:color w:val="000000"/>
              </w:rPr>
            </w:pPr>
            <w:r>
              <w:t>Po kompletním zadání projektu do systému MS2021+, včetně všech příloh, požádá žadatel kancelář MAS o kontrolu shodnosti projektového záměru a projektu zadaného v MS2021+. O kontrolu je nutné požádat nejpozději 15 pracovních dní před vypršením platnosti Vyjádření MAS o souladu/nesouladu projektového záměru/náhradního projektového záměru se SCLLD 21-27, pokud je tato lhůta stanovena. Na základě individuální žádosti je možné stanovenou lhůtu posunout.</w:t>
            </w:r>
          </w:p>
        </w:tc>
      </w:tr>
      <w:tr w:rsidR="004E6444" w:rsidRPr="00BA701F" w14:paraId="0A8920B2"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tcPr>
          <w:p w14:paraId="76BDA85D" w14:textId="48A77B1D" w:rsidR="004E6444" w:rsidRPr="00BA701F" w:rsidRDefault="004E6444" w:rsidP="004E6444">
            <w:pPr>
              <w:spacing w:after="0"/>
              <w:jc w:val="left"/>
              <w:rPr>
                <w:rFonts w:eastAsia="Times New Roman"/>
                <w:b/>
                <w:bCs/>
                <w:color w:val="000000"/>
              </w:rPr>
            </w:pPr>
            <w:r w:rsidRPr="0055615B">
              <w:rPr>
                <w:rFonts w:eastAsia="Times New Roman"/>
                <w:b/>
                <w:bCs/>
                <w:color w:val="000000"/>
              </w:rPr>
              <w:t xml:space="preserve">Povinnosti hlášení změn projektů na </w:t>
            </w:r>
            <w:proofErr w:type="gramStart"/>
            <w:r w:rsidRPr="0055615B">
              <w:rPr>
                <w:rFonts w:eastAsia="Times New Roman"/>
                <w:b/>
                <w:bCs/>
                <w:color w:val="000000"/>
              </w:rPr>
              <w:t>MAS</w:t>
            </w:r>
            <w:proofErr w:type="gramEnd"/>
          </w:p>
        </w:tc>
        <w:tc>
          <w:tcPr>
            <w:tcW w:w="5376" w:type="dxa"/>
            <w:tcBorders>
              <w:top w:val="nil"/>
              <w:left w:val="nil"/>
              <w:bottom w:val="single" w:sz="4" w:space="0" w:color="auto"/>
              <w:right w:val="single" w:sz="4" w:space="0" w:color="auto"/>
            </w:tcBorders>
            <w:shd w:val="clear" w:color="auto" w:fill="auto"/>
            <w:noWrap/>
            <w:vAlign w:val="bottom"/>
          </w:tcPr>
          <w:p w14:paraId="6206ECD2" w14:textId="47E8FAAE" w:rsidR="004E6444" w:rsidRPr="0055615B" w:rsidRDefault="004E6444" w:rsidP="004E6444">
            <w:pPr>
              <w:spacing w:after="0"/>
              <w:jc w:val="left"/>
              <w:rPr>
                <w:rFonts w:eastAsia="Times New Roman"/>
                <w:color w:val="000000"/>
              </w:rPr>
            </w:pPr>
            <w:r>
              <w:rPr>
                <w:rFonts w:eastAsia="Times New Roman"/>
                <w:color w:val="000000"/>
              </w:rPr>
              <w:t>P</w:t>
            </w:r>
            <w:r w:rsidRPr="0055615B">
              <w:rPr>
                <w:rFonts w:eastAsia="Times New Roman"/>
                <w:color w:val="000000"/>
              </w:rPr>
              <w:t xml:space="preserve">ovinnosti hlášení změn projektů na </w:t>
            </w:r>
            <w:proofErr w:type="gramStart"/>
            <w:r w:rsidRPr="0055615B">
              <w:rPr>
                <w:rFonts w:eastAsia="Times New Roman"/>
                <w:color w:val="000000"/>
              </w:rPr>
              <w:t>MAS</w:t>
            </w:r>
            <w:proofErr w:type="gramEnd"/>
            <w:r>
              <w:rPr>
                <w:rFonts w:eastAsia="Times New Roman"/>
                <w:color w:val="000000"/>
              </w:rPr>
              <w:t xml:space="preserve"> upravují Interní postupy  Kyjovského Slovácka v pohybu, z.s. IROP 2021 – 2027 v kapitole</w:t>
            </w:r>
            <w:r w:rsidRPr="0055615B">
              <w:rPr>
                <w:rFonts w:eastAsia="Times New Roman"/>
                <w:color w:val="000000"/>
              </w:rPr>
              <w:t xml:space="preserve"> č. 8</w:t>
            </w:r>
          </w:p>
          <w:p w14:paraId="64F0F237" w14:textId="77777777" w:rsidR="004E6444" w:rsidRDefault="004E6444" w:rsidP="004E6444">
            <w:pPr>
              <w:spacing w:after="0"/>
              <w:jc w:val="left"/>
              <w:rPr>
                <w:rFonts w:eastAsia="Times New Roman"/>
                <w:color w:val="000000"/>
              </w:rPr>
            </w:pPr>
          </w:p>
        </w:tc>
      </w:tr>
      <w:tr w:rsidR="004E6444" w:rsidRPr="00BA701F" w14:paraId="7356E18B" w14:textId="77777777" w:rsidTr="00890448">
        <w:trPr>
          <w:trHeight w:val="1033"/>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7B774748"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Další specifika výzvy</w:t>
            </w:r>
          </w:p>
        </w:tc>
        <w:tc>
          <w:tcPr>
            <w:tcW w:w="5376" w:type="dxa"/>
            <w:tcBorders>
              <w:top w:val="nil"/>
              <w:left w:val="nil"/>
              <w:bottom w:val="single" w:sz="4" w:space="0" w:color="auto"/>
              <w:right w:val="single" w:sz="4" w:space="0" w:color="auto"/>
            </w:tcBorders>
            <w:shd w:val="clear" w:color="auto" w:fill="auto"/>
            <w:noWrap/>
            <w:vAlign w:val="center"/>
            <w:hideMark/>
          </w:tcPr>
          <w:p w14:paraId="447DE3A2" w14:textId="0C311A4F" w:rsidR="004E6444" w:rsidRPr="006005AD" w:rsidRDefault="004E6444" w:rsidP="004E6444">
            <w:pPr>
              <w:spacing w:after="0"/>
              <w:jc w:val="left"/>
              <w:rPr>
                <w:rFonts w:eastAsia="Times New Roman"/>
                <w:color w:val="000000"/>
              </w:rPr>
            </w:pPr>
            <w:r>
              <w:rPr>
                <w:rFonts w:eastAsia="Times New Roman"/>
                <w:color w:val="000000"/>
              </w:rPr>
              <w:t>Specifika výzvy MAS upravují Interní postupy Kyjovského Slovácka v </w:t>
            </w:r>
            <w:proofErr w:type="gramStart"/>
            <w:r>
              <w:rPr>
                <w:rFonts w:eastAsia="Times New Roman"/>
                <w:color w:val="000000"/>
              </w:rPr>
              <w:t>pohybu, z.s.</w:t>
            </w:r>
            <w:proofErr w:type="gramEnd"/>
            <w:r>
              <w:rPr>
                <w:rFonts w:eastAsia="Times New Roman"/>
                <w:color w:val="000000"/>
              </w:rPr>
              <w:t xml:space="preserve"> IROP 2021 – 2027 viz odkaz níže. </w:t>
            </w:r>
          </w:p>
          <w:p w14:paraId="283DAC91" w14:textId="790ED9C5" w:rsidR="004E6444" w:rsidRDefault="004E6444" w:rsidP="004E6444">
            <w:pPr>
              <w:spacing w:after="0"/>
              <w:jc w:val="left"/>
              <w:rPr>
                <w:rFonts w:eastAsia="Times New Roman"/>
                <w:color w:val="000000"/>
              </w:rPr>
            </w:pPr>
            <w:r>
              <w:rPr>
                <w:rFonts w:eastAsia="Times New Roman"/>
                <w:color w:val="000000"/>
              </w:rPr>
              <w:t>Jedná se především o postupy:</w:t>
            </w:r>
          </w:p>
          <w:p w14:paraId="49C55479" w14:textId="39A0174D" w:rsidR="004E6444" w:rsidRPr="00221188" w:rsidRDefault="004E6444" w:rsidP="004E6444">
            <w:pPr>
              <w:pStyle w:val="Odstavecseseznamem"/>
              <w:numPr>
                <w:ilvl w:val="0"/>
                <w:numId w:val="12"/>
              </w:numPr>
              <w:spacing w:after="0"/>
              <w:jc w:val="left"/>
              <w:rPr>
                <w:rFonts w:eastAsia="Times New Roman"/>
                <w:color w:val="000000"/>
              </w:rPr>
            </w:pPr>
            <w:r>
              <w:rPr>
                <w:rFonts w:eastAsia="Times New Roman"/>
                <w:color w:val="000000"/>
              </w:rPr>
              <w:t>vymezující možnosti změny výzvy – kapitola č. 2</w:t>
            </w:r>
          </w:p>
          <w:p w14:paraId="13856800" w14:textId="221BEFCC" w:rsidR="004E6444" w:rsidRDefault="004E6444" w:rsidP="004E6444">
            <w:pPr>
              <w:pStyle w:val="Odstavecseseznamem"/>
              <w:numPr>
                <w:ilvl w:val="0"/>
                <w:numId w:val="10"/>
              </w:numPr>
              <w:spacing w:after="0"/>
              <w:jc w:val="left"/>
              <w:rPr>
                <w:rFonts w:eastAsia="Times New Roman"/>
                <w:color w:val="000000"/>
              </w:rPr>
            </w:pPr>
            <w:r>
              <w:rPr>
                <w:rFonts w:eastAsia="Times New Roman"/>
                <w:color w:val="000000"/>
              </w:rPr>
              <w:t>vymezující náhradní projekty a možnosti jejich podpory – kapitola č. 5</w:t>
            </w:r>
          </w:p>
          <w:p w14:paraId="66EB06C8" w14:textId="6B5FB285" w:rsidR="004E6444" w:rsidRDefault="004E6444" w:rsidP="004E6444">
            <w:pPr>
              <w:pStyle w:val="Odstavecseseznamem"/>
              <w:numPr>
                <w:ilvl w:val="0"/>
                <w:numId w:val="10"/>
              </w:numPr>
              <w:spacing w:after="0"/>
              <w:jc w:val="left"/>
              <w:rPr>
                <w:rFonts w:eastAsia="Times New Roman"/>
                <w:color w:val="000000"/>
              </w:rPr>
            </w:pPr>
            <w:r>
              <w:rPr>
                <w:rFonts w:eastAsia="Times New Roman"/>
                <w:color w:val="000000"/>
              </w:rPr>
              <w:t>možnost podat žádost o přezkum hodnocení či stížnost – kapitola č. 6</w:t>
            </w:r>
          </w:p>
          <w:p w14:paraId="5FC5A664" w14:textId="77777777" w:rsidR="004E6444" w:rsidRDefault="004E6444" w:rsidP="004E6444">
            <w:pPr>
              <w:spacing w:after="0"/>
              <w:jc w:val="left"/>
              <w:rPr>
                <w:rFonts w:eastAsia="Times New Roman"/>
                <w:color w:val="000000"/>
              </w:rPr>
            </w:pPr>
            <w:r>
              <w:rPr>
                <w:rFonts w:eastAsia="Times New Roman"/>
                <w:color w:val="000000"/>
              </w:rPr>
              <w:t xml:space="preserve">Výzvě MAS je nadřazena Výzva ŘO IROP a dokumenty s ní související. </w:t>
            </w:r>
          </w:p>
          <w:p w14:paraId="29F6924A" w14:textId="384C3CCF" w:rsidR="004E6444" w:rsidRPr="00DC2E4B" w:rsidRDefault="004E6444" w:rsidP="004E6444">
            <w:pPr>
              <w:spacing w:after="0"/>
              <w:jc w:val="left"/>
              <w:rPr>
                <w:rFonts w:eastAsia="Times New Roman"/>
                <w:color w:val="000000"/>
              </w:rPr>
            </w:pPr>
          </w:p>
        </w:tc>
      </w:tr>
      <w:tr w:rsidR="004E6444" w:rsidRPr="00BA701F" w14:paraId="091824D4"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67178855"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Forma a způsob podání žádosti o podporu</w:t>
            </w:r>
          </w:p>
        </w:tc>
        <w:tc>
          <w:tcPr>
            <w:tcW w:w="5376" w:type="dxa"/>
            <w:tcBorders>
              <w:top w:val="nil"/>
              <w:left w:val="nil"/>
              <w:bottom w:val="single" w:sz="4" w:space="0" w:color="auto"/>
              <w:right w:val="single" w:sz="4" w:space="0" w:color="auto"/>
            </w:tcBorders>
            <w:shd w:val="clear" w:color="auto" w:fill="auto"/>
            <w:noWrap/>
            <w:vAlign w:val="bottom"/>
            <w:hideMark/>
          </w:tcPr>
          <w:p w14:paraId="7C7897C2" w14:textId="43FA9F5D" w:rsidR="004E6444" w:rsidRDefault="004E6444" w:rsidP="004E6444">
            <w:pPr>
              <w:spacing w:after="0"/>
              <w:jc w:val="left"/>
              <w:rPr>
                <w:rFonts w:eastAsia="Times New Roman"/>
                <w:color w:val="000000"/>
              </w:rPr>
            </w:pPr>
            <w:r>
              <w:rPr>
                <w:rFonts w:eastAsia="Times New Roman"/>
                <w:color w:val="000000"/>
              </w:rPr>
              <w:t>Způsob podání projektového záměru upravují Interní postupy Kyjovského Slovácka v </w:t>
            </w:r>
            <w:proofErr w:type="gramStart"/>
            <w:r>
              <w:rPr>
                <w:rFonts w:eastAsia="Times New Roman"/>
                <w:color w:val="000000"/>
              </w:rPr>
              <w:t>pohybu, z.s.</w:t>
            </w:r>
            <w:proofErr w:type="gramEnd"/>
            <w:r>
              <w:rPr>
                <w:rFonts w:eastAsia="Times New Roman"/>
                <w:color w:val="000000"/>
              </w:rPr>
              <w:t xml:space="preserve"> IROP 2021 – 2027 v kapitole č. 4. </w:t>
            </w:r>
          </w:p>
          <w:p w14:paraId="47763AC8" w14:textId="77777777" w:rsidR="004E6444" w:rsidRDefault="004E6444" w:rsidP="004E6444">
            <w:r>
              <w:t>Způsob podávání projektového záměru do vyhlášené výzvy MAS bude probíhat</w:t>
            </w:r>
            <w:r w:rsidRPr="00E9351B">
              <w:t xml:space="preserve"> elektronickou formou</w:t>
            </w:r>
            <w:r>
              <w:t xml:space="preserve">. Součástí vyhlášené výzvy MAS je vzor projektového formuláře, který musí žadatel vyplnit. Žadatel projektový formulář vyplní, </w:t>
            </w:r>
            <w:r w:rsidRPr="00E9351B">
              <w:t>uloží ve formátu PDF a elektronicky podepíše nebo vytiskne a podepíše</w:t>
            </w:r>
            <w:r w:rsidRPr="00670FB7">
              <w:t>. Rovněž</w:t>
            </w:r>
            <w:r>
              <w:t xml:space="preserve"> obdobným způsobem připraví veškeré potřebné přílohy projektového záměru. Přílohy není nutné podepisovat. </w:t>
            </w:r>
          </w:p>
          <w:p w14:paraId="585688D5" w14:textId="77777777" w:rsidR="004E6444" w:rsidRDefault="004E6444" w:rsidP="004E6444">
            <w:r>
              <w:t>Kompletně připravený projektový záměr následně žadatel</w:t>
            </w:r>
            <w:r w:rsidRPr="006533AA">
              <w:t xml:space="preserve"> odešle na e-mailovou adresu </w:t>
            </w:r>
            <w:hyperlink r:id="rId11" w:history="1">
              <w:r w:rsidRPr="00032370">
                <w:rPr>
                  <w:rStyle w:val="Hypertextovodkaz"/>
                </w:rPr>
                <w:t>irop@kyjovske-slovacko.com</w:t>
              </w:r>
            </w:hyperlink>
            <w:r>
              <w:t xml:space="preserve"> a současně také </w:t>
            </w:r>
            <w:r w:rsidRPr="00DB2D95">
              <w:t>datovou schránkou do datové schránky MAS</w:t>
            </w:r>
            <w:r>
              <w:t>. Zaslání oběma způsoby je nezbytné z důvodu zajištění časového údaje pro přijetí žádosti a archivace komunikace MAS s žadatelem.</w:t>
            </w:r>
          </w:p>
          <w:p w14:paraId="0CD60205" w14:textId="0ACC48CC" w:rsidR="004E6444" w:rsidRPr="00670FB7" w:rsidRDefault="004E6444" w:rsidP="004E6444">
            <w:r>
              <w:t xml:space="preserve">Projektové záměry, které budou doručeny později, než je stanoveno výzvou, budou automaticky vyřazeny z procesu posouzení souladu projektových záměrů se SCLLD 21-27. Za doručení projektového </w:t>
            </w:r>
            <w:r w:rsidRPr="008F5C7F">
              <w:t>záměru je považován datum a čas dodání uveřejněný na příchozí zprávě z datové schránky.</w:t>
            </w:r>
          </w:p>
        </w:tc>
      </w:tr>
      <w:tr w:rsidR="004E6444" w:rsidRPr="00BA701F" w14:paraId="4B2A4F27"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7E499687" w14:textId="07B21DEF" w:rsidR="004E6444" w:rsidRPr="00BA701F" w:rsidRDefault="004E6444" w:rsidP="004E6444">
            <w:pPr>
              <w:spacing w:after="0"/>
              <w:jc w:val="left"/>
              <w:rPr>
                <w:rFonts w:eastAsia="Times New Roman"/>
                <w:b/>
                <w:bCs/>
                <w:color w:val="000000"/>
              </w:rPr>
            </w:pPr>
            <w:r w:rsidRPr="00BA701F">
              <w:rPr>
                <w:rFonts w:eastAsia="Times New Roman"/>
                <w:b/>
                <w:bCs/>
                <w:color w:val="000000"/>
              </w:rPr>
              <w:t>Odkaz na Interní postupy MAS</w:t>
            </w:r>
            <w:r>
              <w:rPr>
                <w:rFonts w:eastAsia="Times New Roman"/>
                <w:b/>
                <w:bCs/>
                <w:color w:val="000000"/>
              </w:rPr>
              <w:t xml:space="preserve"> a Výzvu MAS </w:t>
            </w:r>
          </w:p>
        </w:tc>
        <w:tc>
          <w:tcPr>
            <w:tcW w:w="5376" w:type="dxa"/>
            <w:tcBorders>
              <w:top w:val="nil"/>
              <w:left w:val="nil"/>
              <w:bottom w:val="single" w:sz="4" w:space="0" w:color="auto"/>
              <w:right w:val="single" w:sz="4" w:space="0" w:color="auto"/>
            </w:tcBorders>
            <w:shd w:val="clear" w:color="auto" w:fill="auto"/>
            <w:noWrap/>
            <w:vAlign w:val="bottom"/>
            <w:hideMark/>
          </w:tcPr>
          <w:p w14:paraId="6820BE1D" w14:textId="04B0B773" w:rsidR="00FC5DEB" w:rsidRPr="00BA701F" w:rsidRDefault="00DE6388" w:rsidP="00FC5DEB">
            <w:pPr>
              <w:spacing w:after="0"/>
              <w:jc w:val="left"/>
              <w:rPr>
                <w:rFonts w:eastAsia="Times New Roman"/>
                <w:color w:val="000000"/>
              </w:rPr>
            </w:pPr>
            <w:hyperlink r:id="rId12" w:history="1">
              <w:r w:rsidR="00FC5DEB" w:rsidRPr="003E53AA">
                <w:rPr>
                  <w:rStyle w:val="Hypertextovodkaz"/>
                </w:rPr>
                <w:t>https://www.kyjovske-slovacko.com/cs/4-vyzva-irop-21-cestovni-ruch</w:t>
              </w:r>
            </w:hyperlink>
          </w:p>
        </w:tc>
      </w:tr>
      <w:tr w:rsidR="004E6444" w:rsidRPr="00BA701F" w14:paraId="3E69C5E8" w14:textId="77777777" w:rsidTr="00106376">
        <w:trPr>
          <w:trHeight w:val="684"/>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312B653C"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Odkaz na Obecná a Specifická pravidla výzvy ŘO IROP</w:t>
            </w:r>
          </w:p>
        </w:tc>
        <w:tc>
          <w:tcPr>
            <w:tcW w:w="5376" w:type="dxa"/>
            <w:tcBorders>
              <w:top w:val="nil"/>
              <w:left w:val="nil"/>
              <w:bottom w:val="single" w:sz="4" w:space="0" w:color="auto"/>
              <w:right w:val="single" w:sz="4" w:space="0" w:color="auto"/>
            </w:tcBorders>
            <w:shd w:val="clear" w:color="auto" w:fill="auto"/>
            <w:noWrap/>
            <w:vAlign w:val="bottom"/>
            <w:hideMark/>
          </w:tcPr>
          <w:p w14:paraId="68D76F02" w14:textId="77777777" w:rsidR="004E6444" w:rsidRDefault="004E6444" w:rsidP="004E6444">
            <w:pPr>
              <w:spacing w:after="0"/>
              <w:jc w:val="left"/>
              <w:rPr>
                <w:rFonts w:eastAsia="Times New Roman"/>
                <w:color w:val="000000"/>
              </w:rPr>
            </w:pPr>
            <w:r>
              <w:rPr>
                <w:rFonts w:eastAsia="Times New Roman"/>
                <w:color w:val="000000"/>
              </w:rPr>
              <w:t>Obecná pravidla:</w:t>
            </w:r>
          </w:p>
          <w:p w14:paraId="2C2B8C19" w14:textId="43489A87" w:rsidR="00FC5DEB" w:rsidRDefault="00DE6388" w:rsidP="004E6444">
            <w:pPr>
              <w:spacing w:after="0"/>
              <w:jc w:val="left"/>
            </w:pPr>
            <w:hyperlink r:id="rId13" w:history="1">
              <w:r w:rsidR="00FC5DEB" w:rsidRPr="003E53AA">
                <w:rPr>
                  <w:rStyle w:val="Hypertextovodkaz"/>
                </w:rPr>
                <w:t>https://irop.gov.cz/getmedia/caed70a1-d8e4-4b42-832d-04e0ffd930dd/Obecna-pravidla-2021-2027_verze-3.pdf.aspx?ext=.pdf</w:t>
              </w:r>
            </w:hyperlink>
          </w:p>
          <w:p w14:paraId="563F2633" w14:textId="4FA94792" w:rsidR="00FC5DEB" w:rsidRDefault="00FC5DEB" w:rsidP="004E6444">
            <w:pPr>
              <w:spacing w:after="0"/>
              <w:jc w:val="left"/>
            </w:pPr>
            <w:r w:rsidRPr="00FC5DEB">
              <w:t xml:space="preserve"> </w:t>
            </w:r>
          </w:p>
          <w:p w14:paraId="157AB540" w14:textId="6BF5F82F" w:rsidR="004E6444" w:rsidRDefault="004E6444" w:rsidP="004E6444">
            <w:pPr>
              <w:spacing w:after="0"/>
              <w:jc w:val="left"/>
              <w:rPr>
                <w:rFonts w:eastAsia="Times New Roman"/>
                <w:color w:val="000000"/>
              </w:rPr>
            </w:pPr>
            <w:r>
              <w:rPr>
                <w:rFonts w:eastAsia="Times New Roman"/>
                <w:color w:val="000000"/>
              </w:rPr>
              <w:t>Specifická pravidla:</w:t>
            </w:r>
          </w:p>
          <w:p w14:paraId="4CD1C6C4" w14:textId="554B40F5" w:rsidR="004E6444" w:rsidRDefault="00DE6388" w:rsidP="00FC5DEB">
            <w:pPr>
              <w:spacing w:after="0"/>
              <w:jc w:val="left"/>
              <w:rPr>
                <w:rFonts w:eastAsia="Times New Roman"/>
                <w:color w:val="000000"/>
              </w:rPr>
            </w:pPr>
            <w:hyperlink r:id="rId14" w:history="1">
              <w:r w:rsidR="00FC5DEB" w:rsidRPr="003E53AA">
                <w:rPr>
                  <w:rStyle w:val="Hypertextovodkaz"/>
                  <w:rFonts w:eastAsia="Times New Roman"/>
                </w:rPr>
                <w:t>https://irop.gov.cz/getmedia/24b283f3-b9df-4a9c-9b88-2e91edd2e8f0/Specificka_pravidla_86v_Cestovni-ruch_CLLD.pdf.aspx?ext=.pdf</w:t>
              </w:r>
            </w:hyperlink>
          </w:p>
          <w:p w14:paraId="4344B893" w14:textId="026737BC" w:rsidR="00FC5DEB" w:rsidRPr="00BA701F" w:rsidRDefault="00FC5DEB" w:rsidP="00FC5DEB">
            <w:pPr>
              <w:spacing w:after="0"/>
              <w:jc w:val="left"/>
              <w:rPr>
                <w:rFonts w:eastAsia="Times New Roman"/>
                <w:color w:val="000000"/>
              </w:rPr>
            </w:pPr>
          </w:p>
        </w:tc>
      </w:tr>
      <w:tr w:rsidR="004E6444" w:rsidRPr="00BA701F" w14:paraId="1520696B"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7ADA1B56"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Odkaz na nadřazenou Výzvu ŘO IROP</w:t>
            </w:r>
          </w:p>
        </w:tc>
        <w:tc>
          <w:tcPr>
            <w:tcW w:w="5376" w:type="dxa"/>
            <w:tcBorders>
              <w:top w:val="nil"/>
              <w:left w:val="nil"/>
              <w:bottom w:val="single" w:sz="4" w:space="0" w:color="auto"/>
              <w:right w:val="single" w:sz="4" w:space="0" w:color="auto"/>
            </w:tcBorders>
            <w:shd w:val="clear" w:color="auto" w:fill="auto"/>
            <w:noWrap/>
            <w:vAlign w:val="bottom"/>
            <w:hideMark/>
          </w:tcPr>
          <w:p w14:paraId="1966D773" w14:textId="3473695F" w:rsidR="004E6444" w:rsidRDefault="00DE6388" w:rsidP="00FC5DEB">
            <w:pPr>
              <w:spacing w:after="0"/>
              <w:jc w:val="left"/>
              <w:rPr>
                <w:rFonts w:eastAsia="Times New Roman"/>
                <w:color w:val="000000"/>
              </w:rPr>
            </w:pPr>
            <w:hyperlink r:id="rId15" w:history="1">
              <w:r w:rsidR="00FC5DEB" w:rsidRPr="003E53AA">
                <w:rPr>
                  <w:rStyle w:val="Hypertextovodkaz"/>
                  <w:rFonts w:eastAsia="Times New Roman"/>
                </w:rPr>
                <w:t>https://irop.gov.cz/cs/vyzvy-2021-2027/vyzvy/86vyzvairop</w:t>
              </w:r>
            </w:hyperlink>
          </w:p>
          <w:p w14:paraId="6A713C3A" w14:textId="2CC4EA8C" w:rsidR="00FC5DEB" w:rsidRPr="00BA701F" w:rsidRDefault="00FC5DEB" w:rsidP="00FC5DEB">
            <w:pPr>
              <w:spacing w:after="0"/>
              <w:jc w:val="left"/>
              <w:rPr>
                <w:rFonts w:eastAsia="Times New Roman"/>
                <w:color w:val="000000"/>
              </w:rPr>
            </w:pPr>
          </w:p>
        </w:tc>
      </w:tr>
      <w:tr w:rsidR="004E6444" w:rsidRPr="00BA701F" w14:paraId="4061583C" w14:textId="77777777" w:rsidTr="00106376">
        <w:trPr>
          <w:trHeight w:val="288"/>
        </w:trPr>
        <w:tc>
          <w:tcPr>
            <w:tcW w:w="5398" w:type="dxa"/>
            <w:tcBorders>
              <w:top w:val="nil"/>
              <w:left w:val="single" w:sz="4" w:space="0" w:color="auto"/>
              <w:bottom w:val="single" w:sz="4" w:space="0" w:color="auto"/>
              <w:right w:val="single" w:sz="4" w:space="0" w:color="auto"/>
            </w:tcBorders>
            <w:shd w:val="clear" w:color="000000" w:fill="D9D9D9"/>
            <w:vAlign w:val="center"/>
            <w:hideMark/>
          </w:tcPr>
          <w:p w14:paraId="1778FA60"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Kontakty pro poskytování informací</w:t>
            </w:r>
          </w:p>
        </w:tc>
        <w:tc>
          <w:tcPr>
            <w:tcW w:w="5376" w:type="dxa"/>
            <w:tcBorders>
              <w:top w:val="nil"/>
              <w:left w:val="nil"/>
              <w:bottom w:val="single" w:sz="4" w:space="0" w:color="auto"/>
              <w:right w:val="single" w:sz="4" w:space="0" w:color="auto"/>
            </w:tcBorders>
            <w:shd w:val="clear" w:color="auto" w:fill="auto"/>
            <w:noWrap/>
            <w:vAlign w:val="bottom"/>
            <w:hideMark/>
          </w:tcPr>
          <w:p w14:paraId="0F39E926" w14:textId="5E2BF404" w:rsidR="004E6444" w:rsidRPr="00DC2E4B" w:rsidRDefault="004E6444" w:rsidP="004E6444">
            <w:pPr>
              <w:spacing w:after="0"/>
              <w:jc w:val="left"/>
              <w:rPr>
                <w:rFonts w:eastAsia="Times New Roman"/>
                <w:color w:val="000000"/>
              </w:rPr>
            </w:pPr>
            <w:r w:rsidRPr="00DC2E4B">
              <w:rPr>
                <w:rFonts w:eastAsia="Times New Roman"/>
                <w:color w:val="000000"/>
              </w:rPr>
              <w:t xml:space="preserve">Kontaktní údaje na pracovníky Kyjovského Slovácka v </w:t>
            </w:r>
            <w:proofErr w:type="gramStart"/>
            <w:r w:rsidRPr="00DC2E4B">
              <w:rPr>
                <w:rFonts w:eastAsia="Times New Roman"/>
                <w:color w:val="000000"/>
              </w:rPr>
              <w:t>pohybu, z.s.</w:t>
            </w:r>
            <w:proofErr w:type="gramEnd"/>
            <w:r w:rsidRPr="00DC2E4B">
              <w:rPr>
                <w:rFonts w:eastAsia="Times New Roman"/>
                <w:color w:val="000000"/>
              </w:rPr>
              <w:t>:</w:t>
            </w:r>
          </w:p>
          <w:p w14:paraId="14464384" w14:textId="77777777" w:rsidR="004E6444" w:rsidRPr="00DC2E4B" w:rsidRDefault="004E6444" w:rsidP="004E6444">
            <w:pPr>
              <w:spacing w:after="0"/>
              <w:jc w:val="left"/>
              <w:rPr>
                <w:rFonts w:eastAsia="Times New Roman"/>
                <w:color w:val="000000"/>
              </w:rPr>
            </w:pPr>
            <w:r w:rsidRPr="00DC2E4B">
              <w:rPr>
                <w:rFonts w:eastAsia="Times New Roman"/>
                <w:color w:val="000000"/>
              </w:rPr>
              <w:t>Ing. Tomáš Kolařík</w:t>
            </w:r>
          </w:p>
          <w:p w14:paraId="6698D92C" w14:textId="6667B7D4" w:rsidR="004E6444" w:rsidRPr="00DC2E4B" w:rsidRDefault="004E6444" w:rsidP="004E6444">
            <w:pPr>
              <w:spacing w:after="0"/>
              <w:jc w:val="left"/>
              <w:rPr>
                <w:rFonts w:eastAsia="Times New Roman"/>
                <w:color w:val="000000"/>
              </w:rPr>
            </w:pPr>
            <w:r>
              <w:rPr>
                <w:rFonts w:eastAsia="Times New Roman"/>
                <w:color w:val="000000"/>
              </w:rPr>
              <w:t>mobil</w:t>
            </w:r>
            <w:r w:rsidRPr="00DC2E4B">
              <w:rPr>
                <w:rFonts w:eastAsia="Times New Roman"/>
                <w:color w:val="000000"/>
              </w:rPr>
              <w:t>: 775 766 469</w:t>
            </w:r>
          </w:p>
          <w:p w14:paraId="10D04BFF" w14:textId="77777777" w:rsidR="004E6444" w:rsidRPr="00DC2E4B" w:rsidRDefault="004E6444" w:rsidP="004E6444">
            <w:pPr>
              <w:spacing w:after="0"/>
              <w:jc w:val="left"/>
              <w:rPr>
                <w:rFonts w:eastAsia="Times New Roman"/>
                <w:color w:val="000000"/>
              </w:rPr>
            </w:pPr>
            <w:r w:rsidRPr="00DC2E4B">
              <w:rPr>
                <w:rFonts w:eastAsia="Times New Roman"/>
                <w:color w:val="000000"/>
              </w:rPr>
              <w:t>e-mail: tomaskolarik@kyjovske-slovacko.com</w:t>
            </w:r>
          </w:p>
          <w:p w14:paraId="3BB2233B" w14:textId="588E6BBC" w:rsidR="004E6444" w:rsidRPr="00DC2E4B" w:rsidRDefault="004E6444" w:rsidP="004E6444">
            <w:pPr>
              <w:spacing w:after="0"/>
              <w:jc w:val="left"/>
              <w:rPr>
                <w:rFonts w:eastAsia="Times New Roman"/>
                <w:color w:val="000000"/>
              </w:rPr>
            </w:pPr>
            <w:r w:rsidRPr="00DC2E4B">
              <w:rPr>
                <w:rFonts w:eastAsia="Times New Roman"/>
                <w:color w:val="000000"/>
              </w:rPr>
              <w:t>Hana Horňáková</w:t>
            </w:r>
          </w:p>
          <w:p w14:paraId="3BFE72C3" w14:textId="1D3B2E67" w:rsidR="004E6444" w:rsidRPr="00DC2E4B" w:rsidRDefault="004E6444" w:rsidP="004E6444">
            <w:pPr>
              <w:spacing w:after="0"/>
              <w:jc w:val="left"/>
              <w:rPr>
                <w:rFonts w:eastAsia="Times New Roman"/>
                <w:color w:val="000000"/>
              </w:rPr>
            </w:pPr>
            <w:r>
              <w:rPr>
                <w:rFonts w:eastAsia="Times New Roman"/>
                <w:color w:val="000000"/>
              </w:rPr>
              <w:t>mobil</w:t>
            </w:r>
            <w:r w:rsidRPr="00DC2E4B">
              <w:rPr>
                <w:rFonts w:eastAsia="Times New Roman"/>
                <w:color w:val="000000"/>
              </w:rPr>
              <w:t>: 774 664 668</w:t>
            </w:r>
          </w:p>
          <w:p w14:paraId="2B8584FF" w14:textId="77777777" w:rsidR="004E6444" w:rsidRPr="00DC2E4B" w:rsidRDefault="004E6444" w:rsidP="004E6444">
            <w:pPr>
              <w:spacing w:after="0"/>
              <w:jc w:val="left"/>
              <w:rPr>
                <w:rFonts w:eastAsia="Times New Roman"/>
                <w:color w:val="000000"/>
              </w:rPr>
            </w:pPr>
            <w:r w:rsidRPr="00DC2E4B">
              <w:rPr>
                <w:rFonts w:eastAsia="Times New Roman"/>
                <w:color w:val="000000"/>
              </w:rPr>
              <w:t>e-mail: hanahornakova@kyjovske-slovacko.com</w:t>
            </w:r>
          </w:p>
          <w:p w14:paraId="79F67CB5" w14:textId="77777777" w:rsidR="004E6444" w:rsidRPr="00DC2E4B" w:rsidRDefault="004E6444" w:rsidP="004E6444">
            <w:pPr>
              <w:spacing w:after="0"/>
              <w:jc w:val="left"/>
              <w:rPr>
                <w:rFonts w:eastAsia="Times New Roman"/>
                <w:color w:val="000000"/>
              </w:rPr>
            </w:pPr>
            <w:r w:rsidRPr="00DC2E4B">
              <w:rPr>
                <w:rFonts w:eastAsia="Times New Roman"/>
                <w:color w:val="000000"/>
              </w:rPr>
              <w:t>Poskytují informace při zpracování žádosti o podporu a posouzení jejího souladu s výzvou MAS.</w:t>
            </w:r>
          </w:p>
          <w:p w14:paraId="1C9DA44A" w14:textId="0F94BC3C" w:rsidR="004E6444" w:rsidRDefault="00DE6388" w:rsidP="004E6444">
            <w:pPr>
              <w:spacing w:after="0"/>
              <w:jc w:val="left"/>
              <w:rPr>
                <w:rFonts w:eastAsia="Times New Roman"/>
                <w:color w:val="000000"/>
              </w:rPr>
            </w:pPr>
            <w:hyperlink r:id="rId16" w:history="1">
              <w:r w:rsidR="004E6444" w:rsidRPr="0069367E">
                <w:rPr>
                  <w:rStyle w:val="Hypertextovodkaz"/>
                  <w:rFonts w:eastAsia="Times New Roman"/>
                </w:rPr>
                <w:t>https://www.kyjovske-slovacko.com/cs/kontakty</w:t>
              </w:r>
            </w:hyperlink>
          </w:p>
          <w:p w14:paraId="1729F9D0" w14:textId="026FF884" w:rsidR="004E6444" w:rsidRPr="00BA701F" w:rsidRDefault="004E6444" w:rsidP="004E6444">
            <w:pPr>
              <w:spacing w:after="0"/>
              <w:jc w:val="left"/>
              <w:rPr>
                <w:rFonts w:eastAsia="Times New Roman"/>
                <w:color w:val="000000"/>
              </w:rPr>
            </w:pPr>
          </w:p>
        </w:tc>
      </w:tr>
      <w:tr w:rsidR="004E6444" w:rsidRPr="00BA701F" w14:paraId="16AB3B3A" w14:textId="77777777" w:rsidTr="00106376">
        <w:trPr>
          <w:trHeight w:val="288"/>
        </w:trPr>
        <w:tc>
          <w:tcPr>
            <w:tcW w:w="53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CE0F" w14:textId="77777777" w:rsidR="004E6444" w:rsidRPr="00BA701F" w:rsidRDefault="004E6444" w:rsidP="004E6444">
            <w:pPr>
              <w:spacing w:after="0"/>
              <w:jc w:val="left"/>
              <w:rPr>
                <w:rFonts w:eastAsia="Times New Roman"/>
                <w:b/>
                <w:bCs/>
                <w:color w:val="000000"/>
              </w:rPr>
            </w:pPr>
            <w:r w:rsidRPr="00BA701F">
              <w:rPr>
                <w:rFonts w:eastAsia="Times New Roman"/>
                <w:b/>
                <w:bCs/>
                <w:color w:val="000000"/>
              </w:rPr>
              <w:t>Seznam příloh výzvy</w:t>
            </w:r>
          </w:p>
        </w:tc>
        <w:tc>
          <w:tcPr>
            <w:tcW w:w="5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8149A" w14:textId="29EDA7CE" w:rsidR="004E6444" w:rsidRPr="00BA701F" w:rsidRDefault="004E6444" w:rsidP="004E6444">
            <w:pPr>
              <w:spacing w:after="0"/>
              <w:jc w:val="left"/>
              <w:rPr>
                <w:rFonts w:eastAsia="Times New Roman"/>
                <w:color w:val="000000"/>
              </w:rPr>
            </w:pPr>
            <w:r>
              <w:rPr>
                <w:rFonts w:eastAsia="Times New Roman"/>
                <w:color w:val="000000"/>
              </w:rPr>
              <w:t>1. Formulář projektového záměru</w:t>
            </w:r>
          </w:p>
        </w:tc>
      </w:tr>
      <w:tr w:rsidR="004E6444" w:rsidRPr="00BA701F" w14:paraId="1AA4B614"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420BED66"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5E9F26EA" w14:textId="2968F025" w:rsidR="004E6444" w:rsidRPr="00802765" w:rsidRDefault="00275959" w:rsidP="004E6444">
            <w:r>
              <w:rPr>
                <w:rFonts w:eastAsia="Times New Roman"/>
                <w:color w:val="000000"/>
              </w:rPr>
              <w:t xml:space="preserve">2. </w:t>
            </w:r>
            <w:r w:rsidR="004E6444">
              <w:rPr>
                <w:rFonts w:eastAsia="Times New Roman"/>
                <w:color w:val="000000"/>
              </w:rPr>
              <w:t xml:space="preserve">Kritéria </w:t>
            </w:r>
            <w:r w:rsidR="004E6444">
              <w:t xml:space="preserve">pro posouzení </w:t>
            </w:r>
            <w:r w:rsidR="004E6444" w:rsidRPr="00AA469E">
              <w:t>administrativní</w:t>
            </w:r>
            <w:r w:rsidR="004E6444" w:rsidRPr="00BC614C">
              <w:t xml:space="preserve"> </w:t>
            </w:r>
            <w:r w:rsidR="004E6444">
              <w:t>fáze procesu souladu</w:t>
            </w:r>
            <w:r w:rsidR="004E6444" w:rsidRPr="0047196C">
              <w:t xml:space="preserve"> </w:t>
            </w:r>
            <w:r w:rsidR="004E6444" w:rsidRPr="000C3A74">
              <w:t>projektového záměru se SCLLD</w:t>
            </w:r>
          </w:p>
        </w:tc>
      </w:tr>
      <w:tr w:rsidR="004E6444" w:rsidRPr="00BA701F" w14:paraId="18A1C857"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3BE9D34A"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145B964D" w14:textId="68D2657A" w:rsidR="004E6444" w:rsidRPr="00BA701F" w:rsidRDefault="004E6444" w:rsidP="004E6444">
            <w:pPr>
              <w:spacing w:after="0"/>
              <w:jc w:val="left"/>
              <w:rPr>
                <w:rFonts w:eastAsia="Times New Roman"/>
                <w:color w:val="000000"/>
              </w:rPr>
            </w:pPr>
            <w:r>
              <w:t xml:space="preserve">3. Kritéria pro posouzení věcné fáze procesu souladu </w:t>
            </w:r>
            <w:r w:rsidRPr="000C3A74">
              <w:t>projektového záměru se SCLLD</w:t>
            </w:r>
          </w:p>
        </w:tc>
      </w:tr>
      <w:tr w:rsidR="004E6444" w:rsidRPr="00BA701F" w14:paraId="46D69FB9"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118F6635"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4550C65C" w14:textId="5CDFA2E7" w:rsidR="004E6444" w:rsidRPr="00BA701F" w:rsidRDefault="004E6444" w:rsidP="004E6444">
            <w:pPr>
              <w:spacing w:after="0"/>
              <w:jc w:val="left"/>
              <w:rPr>
                <w:rFonts w:eastAsia="Times New Roman"/>
                <w:color w:val="000000"/>
              </w:rPr>
            </w:pPr>
            <w:r w:rsidRPr="00BA701F">
              <w:rPr>
                <w:rFonts w:eastAsia="Times New Roman"/>
                <w:color w:val="000000"/>
              </w:rPr>
              <w:t> </w:t>
            </w:r>
            <w:r>
              <w:rPr>
                <w:rFonts w:eastAsia="Times New Roman"/>
                <w:color w:val="000000"/>
              </w:rPr>
              <w:t xml:space="preserve">4. </w:t>
            </w:r>
            <w:r w:rsidRPr="000C3A74">
              <w:t>Vyjádření MAS o souladu/nesouladu projektového záměru/náhradního projektového záměru se SCLLD 21-27</w:t>
            </w:r>
          </w:p>
        </w:tc>
      </w:tr>
      <w:tr w:rsidR="004E6444" w:rsidRPr="00BA701F" w14:paraId="349BE10B"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32BA500E"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309DE661" w14:textId="4D1DD359" w:rsidR="004E6444" w:rsidRPr="00BA701F" w:rsidRDefault="004E6444" w:rsidP="004E6444">
            <w:pPr>
              <w:spacing w:after="0"/>
              <w:jc w:val="left"/>
              <w:rPr>
                <w:rFonts w:eastAsia="Times New Roman"/>
                <w:color w:val="000000"/>
              </w:rPr>
            </w:pPr>
            <w:r w:rsidRPr="00BA701F">
              <w:rPr>
                <w:rFonts w:eastAsia="Times New Roman"/>
                <w:color w:val="000000"/>
              </w:rPr>
              <w:t> </w:t>
            </w:r>
            <w:r>
              <w:rPr>
                <w:rFonts w:eastAsia="Times New Roman"/>
                <w:color w:val="000000"/>
              </w:rPr>
              <w:t>5. Interní postupy Kyjovského Slovácka v </w:t>
            </w:r>
            <w:proofErr w:type="gramStart"/>
            <w:r>
              <w:rPr>
                <w:rFonts w:eastAsia="Times New Roman"/>
                <w:color w:val="000000"/>
              </w:rPr>
              <w:t>pohybu, z.s.</w:t>
            </w:r>
            <w:proofErr w:type="gramEnd"/>
            <w:r>
              <w:rPr>
                <w:rFonts w:eastAsia="Times New Roman"/>
                <w:color w:val="000000"/>
              </w:rPr>
              <w:t xml:space="preserve"> IROP 2021 – 2027</w:t>
            </w:r>
          </w:p>
        </w:tc>
      </w:tr>
      <w:tr w:rsidR="004E6444" w:rsidRPr="00BA701F" w14:paraId="1341859A"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5B15399D"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585014F9" w14:textId="0948EC94" w:rsidR="004E6444" w:rsidRPr="00BA701F" w:rsidRDefault="004E6444" w:rsidP="004E6444">
            <w:pPr>
              <w:spacing w:after="0"/>
              <w:jc w:val="left"/>
              <w:rPr>
                <w:rFonts w:eastAsia="Times New Roman"/>
                <w:color w:val="000000"/>
              </w:rPr>
            </w:pPr>
            <w:r w:rsidRPr="00BA701F">
              <w:rPr>
                <w:rFonts w:eastAsia="Times New Roman"/>
                <w:color w:val="000000"/>
              </w:rPr>
              <w:t> </w:t>
            </w:r>
            <w:r w:rsidR="00275959">
              <w:rPr>
                <w:rFonts w:eastAsia="Times New Roman"/>
                <w:color w:val="000000"/>
              </w:rPr>
              <w:t xml:space="preserve">6. </w:t>
            </w:r>
            <w:r w:rsidR="00275959" w:rsidRPr="00275959">
              <w:rPr>
                <w:rFonts w:eastAsia="Times New Roman"/>
                <w:color w:val="000000"/>
              </w:rPr>
              <w:t>Záměry MAS k rozvoji cestovního ruchu v území MAS</w:t>
            </w:r>
          </w:p>
        </w:tc>
      </w:tr>
      <w:tr w:rsidR="004E6444" w:rsidRPr="00BA701F" w14:paraId="4EF93225"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53AF230F"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00E0E68C" w14:textId="77777777" w:rsidR="004E6444" w:rsidRPr="00BA701F" w:rsidRDefault="004E6444" w:rsidP="004E6444">
            <w:pPr>
              <w:spacing w:after="0"/>
              <w:jc w:val="left"/>
              <w:rPr>
                <w:rFonts w:eastAsia="Times New Roman"/>
                <w:color w:val="000000"/>
              </w:rPr>
            </w:pPr>
            <w:r w:rsidRPr="00BA701F">
              <w:rPr>
                <w:rFonts w:eastAsia="Times New Roman"/>
                <w:color w:val="000000"/>
              </w:rPr>
              <w:t> </w:t>
            </w:r>
          </w:p>
        </w:tc>
      </w:tr>
      <w:tr w:rsidR="004E6444" w:rsidRPr="00BA701F" w14:paraId="1C3DC9EB"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49059281"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75D234BA" w14:textId="77777777" w:rsidR="004E6444" w:rsidRPr="00BA701F" w:rsidRDefault="004E6444" w:rsidP="004E6444">
            <w:pPr>
              <w:spacing w:after="0"/>
              <w:jc w:val="left"/>
              <w:rPr>
                <w:rFonts w:eastAsia="Times New Roman"/>
                <w:color w:val="000000"/>
              </w:rPr>
            </w:pPr>
            <w:r w:rsidRPr="00BA701F">
              <w:rPr>
                <w:rFonts w:eastAsia="Times New Roman"/>
                <w:color w:val="000000"/>
              </w:rPr>
              <w:t> </w:t>
            </w:r>
          </w:p>
        </w:tc>
      </w:tr>
      <w:tr w:rsidR="004E6444" w:rsidRPr="00BA701F" w14:paraId="453ED8FC"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09780A13"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5D273C3D" w14:textId="77777777" w:rsidR="004E6444" w:rsidRPr="00BA701F" w:rsidRDefault="004E6444" w:rsidP="004E6444">
            <w:pPr>
              <w:spacing w:after="0"/>
              <w:jc w:val="left"/>
              <w:rPr>
                <w:rFonts w:eastAsia="Times New Roman"/>
                <w:color w:val="000000"/>
              </w:rPr>
            </w:pPr>
            <w:r w:rsidRPr="00BA701F">
              <w:rPr>
                <w:rFonts w:eastAsia="Times New Roman"/>
                <w:color w:val="000000"/>
              </w:rPr>
              <w:t> </w:t>
            </w:r>
          </w:p>
        </w:tc>
      </w:tr>
      <w:tr w:rsidR="004E6444" w:rsidRPr="00BA701F" w14:paraId="4FD5D627" w14:textId="77777777" w:rsidTr="00106376">
        <w:trPr>
          <w:trHeight w:val="288"/>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171719CF" w14:textId="77777777" w:rsidR="004E6444" w:rsidRPr="00BA701F" w:rsidRDefault="004E6444" w:rsidP="004E6444">
            <w:pPr>
              <w:spacing w:after="0"/>
              <w:jc w:val="left"/>
              <w:rPr>
                <w:rFonts w:eastAsia="Times New Roman"/>
                <w:b/>
                <w:bCs/>
                <w:color w:val="000000"/>
              </w:rPr>
            </w:pPr>
          </w:p>
        </w:tc>
        <w:tc>
          <w:tcPr>
            <w:tcW w:w="5376" w:type="dxa"/>
            <w:tcBorders>
              <w:top w:val="nil"/>
              <w:left w:val="single" w:sz="4" w:space="0" w:color="auto"/>
              <w:bottom w:val="single" w:sz="4" w:space="0" w:color="auto"/>
              <w:right w:val="single" w:sz="4" w:space="0" w:color="auto"/>
            </w:tcBorders>
            <w:shd w:val="clear" w:color="auto" w:fill="auto"/>
            <w:noWrap/>
            <w:vAlign w:val="bottom"/>
            <w:hideMark/>
          </w:tcPr>
          <w:p w14:paraId="6C45E101" w14:textId="77777777" w:rsidR="004E6444" w:rsidRPr="00BA701F" w:rsidRDefault="004E6444" w:rsidP="004E6444">
            <w:pPr>
              <w:spacing w:after="0"/>
              <w:jc w:val="left"/>
              <w:rPr>
                <w:rFonts w:eastAsia="Times New Roman"/>
                <w:color w:val="000000"/>
              </w:rPr>
            </w:pPr>
            <w:r w:rsidRPr="00BA701F">
              <w:rPr>
                <w:rFonts w:eastAsia="Times New Roman"/>
                <w:color w:val="000000"/>
              </w:rPr>
              <w:t> </w:t>
            </w:r>
          </w:p>
        </w:tc>
      </w:tr>
    </w:tbl>
    <w:p w14:paraId="70B93C4A" w14:textId="46C644AD" w:rsidR="00A96558" w:rsidRDefault="00A96558" w:rsidP="00A96558">
      <w:pPr>
        <w:spacing w:after="160" w:line="259" w:lineRule="auto"/>
        <w:jc w:val="left"/>
        <w:rPr>
          <w:rFonts w:ascii="Arial" w:eastAsia="Arial" w:hAnsi="Arial" w:cs="Arial"/>
          <w:b/>
          <w:u w:val="single"/>
        </w:rPr>
      </w:pPr>
    </w:p>
    <w:p w14:paraId="4FC24436" w14:textId="77777777" w:rsidR="00A96558" w:rsidRPr="00A96558" w:rsidRDefault="00A96558" w:rsidP="00A96558">
      <w:pPr>
        <w:rPr>
          <w:rFonts w:ascii="Arial" w:eastAsia="Arial" w:hAnsi="Arial" w:cs="Arial"/>
        </w:rPr>
      </w:pPr>
    </w:p>
    <w:sectPr w:rsidR="00A96558" w:rsidRPr="00A96558" w:rsidSect="00A3692C">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439A7" w14:textId="77777777" w:rsidR="00A3692C" w:rsidRDefault="00A3692C" w:rsidP="00A3692C">
      <w:pPr>
        <w:spacing w:after="0"/>
      </w:pPr>
      <w:r>
        <w:separator/>
      </w:r>
    </w:p>
  </w:endnote>
  <w:endnote w:type="continuationSeparator" w:id="0">
    <w:p w14:paraId="2D88B80B" w14:textId="77777777" w:rsidR="00A3692C" w:rsidRDefault="00A3692C" w:rsidP="00A36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4530" w14:textId="77777777" w:rsidR="00A3692C" w:rsidRDefault="00A3692C" w:rsidP="00A3692C">
      <w:pPr>
        <w:spacing w:after="0"/>
      </w:pPr>
      <w:r>
        <w:separator/>
      </w:r>
    </w:p>
  </w:footnote>
  <w:footnote w:type="continuationSeparator" w:id="0">
    <w:p w14:paraId="77C0C29B" w14:textId="77777777" w:rsidR="00A3692C" w:rsidRDefault="00A3692C" w:rsidP="00A36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5A84" w14:textId="24F6FBC3" w:rsidR="00A3692C" w:rsidRDefault="00A3692C">
    <w:pPr>
      <w:pStyle w:val="Zhlav"/>
    </w:pPr>
    <w:r>
      <w:rPr>
        <w:noProof/>
      </w:rPr>
      <w:drawing>
        <wp:anchor distT="0" distB="0" distL="114300" distR="114300" simplePos="0" relativeHeight="251659264" behindDoc="0" locked="0" layoutInCell="1" allowOverlap="1" wp14:anchorId="3871E1B0" wp14:editId="0202654A">
          <wp:simplePos x="0" y="0"/>
          <wp:positionH relativeFrom="column">
            <wp:posOffset>5368125</wp:posOffset>
          </wp:positionH>
          <wp:positionV relativeFrom="paragraph">
            <wp:posOffset>-251459</wp:posOffset>
          </wp:positionV>
          <wp:extent cx="931333" cy="502920"/>
          <wp:effectExtent l="0" t="0" r="254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367" cy="5050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7DE8FF7" wp14:editId="46649A91">
          <wp:simplePos x="0" y="0"/>
          <wp:positionH relativeFrom="column">
            <wp:posOffset>-564515</wp:posOffset>
          </wp:positionH>
          <wp:positionV relativeFrom="paragraph">
            <wp:posOffset>-205740</wp:posOffset>
          </wp:positionV>
          <wp:extent cx="3747600" cy="450000"/>
          <wp:effectExtent l="0" t="0" r="5715"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476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FF2C0"/>
    <w:multiLevelType w:val="hybridMultilevel"/>
    <w:tmpl w:val="D5A51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939B4D"/>
    <w:multiLevelType w:val="hybridMultilevel"/>
    <w:tmpl w:val="5D9012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36BB8"/>
    <w:multiLevelType w:val="hybridMultilevel"/>
    <w:tmpl w:val="2CC87A20"/>
    <w:lvl w:ilvl="0" w:tplc="04050001">
      <w:start w:val="1"/>
      <w:numFmt w:val="bullet"/>
      <w:lvlText w:val=""/>
      <w:lvlJc w:val="left"/>
      <w:pPr>
        <w:ind w:left="720" w:hanging="360"/>
      </w:pPr>
      <w:rPr>
        <w:rFonts w:ascii="Symbol" w:hAnsi="Symbol" w:hint="default"/>
      </w:rPr>
    </w:lvl>
    <w:lvl w:ilvl="1" w:tplc="8F5C3668">
      <w:numFmt w:val="bullet"/>
      <w:lvlText w:val="-"/>
      <w:lvlJc w:val="left"/>
      <w:pPr>
        <w:ind w:left="1440" w:hanging="360"/>
      </w:pPr>
      <w:rPr>
        <w:rFonts w:ascii="Helvetica" w:eastAsiaTheme="minorHAnsi" w:hAnsi="Helvetica" w:cs="Helvetica"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B17A2"/>
    <w:multiLevelType w:val="hybridMultilevel"/>
    <w:tmpl w:val="B4A46824"/>
    <w:lvl w:ilvl="0" w:tplc="8D6CFDA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21A2874"/>
    <w:multiLevelType w:val="hybridMultilevel"/>
    <w:tmpl w:val="45846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A8F38B"/>
    <w:multiLevelType w:val="hybridMultilevel"/>
    <w:tmpl w:val="39494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97124B"/>
    <w:multiLevelType w:val="hybridMultilevel"/>
    <w:tmpl w:val="EBF6D2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24658AE"/>
    <w:multiLevelType w:val="hybridMultilevel"/>
    <w:tmpl w:val="B7189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F3F6C0"/>
    <w:multiLevelType w:val="hybridMultilevel"/>
    <w:tmpl w:val="19293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A6725E"/>
    <w:multiLevelType w:val="hybridMultilevel"/>
    <w:tmpl w:val="A0764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DD6720"/>
    <w:multiLevelType w:val="hybridMultilevel"/>
    <w:tmpl w:val="FA262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CB03FC"/>
    <w:multiLevelType w:val="multilevel"/>
    <w:tmpl w:val="FF841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5D2AB0"/>
    <w:multiLevelType w:val="hybridMultilevel"/>
    <w:tmpl w:val="9E302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895829"/>
    <w:multiLevelType w:val="hybridMultilevel"/>
    <w:tmpl w:val="D722C7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51235A"/>
    <w:multiLevelType w:val="hybridMultilevel"/>
    <w:tmpl w:val="FD009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642A7D"/>
    <w:multiLevelType w:val="hybridMultilevel"/>
    <w:tmpl w:val="83A266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782EB4"/>
    <w:multiLevelType w:val="hybridMultilevel"/>
    <w:tmpl w:val="E6201844"/>
    <w:lvl w:ilvl="0" w:tplc="8D6CFDA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5B632C"/>
    <w:multiLevelType w:val="hybridMultilevel"/>
    <w:tmpl w:val="DB2CA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BF1BA5"/>
    <w:multiLevelType w:val="hybridMultilevel"/>
    <w:tmpl w:val="5FB29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C677F8"/>
    <w:multiLevelType w:val="hybridMultilevel"/>
    <w:tmpl w:val="7388C1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F23BDC"/>
    <w:multiLevelType w:val="hybridMultilevel"/>
    <w:tmpl w:val="62FA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16"/>
  </w:num>
  <w:num w:numId="5">
    <w:abstractNumId w:val="3"/>
  </w:num>
  <w:num w:numId="6">
    <w:abstractNumId w:val="6"/>
  </w:num>
  <w:num w:numId="7">
    <w:abstractNumId w:val="13"/>
  </w:num>
  <w:num w:numId="8">
    <w:abstractNumId w:val="15"/>
  </w:num>
  <w:num w:numId="9">
    <w:abstractNumId w:val="19"/>
  </w:num>
  <w:num w:numId="10">
    <w:abstractNumId w:val="20"/>
  </w:num>
  <w:num w:numId="11">
    <w:abstractNumId w:val="11"/>
  </w:num>
  <w:num w:numId="12">
    <w:abstractNumId w:val="7"/>
  </w:num>
  <w:num w:numId="13">
    <w:abstractNumId w:val="12"/>
  </w:num>
  <w:num w:numId="14">
    <w:abstractNumId w:val="17"/>
  </w:num>
  <w:num w:numId="15">
    <w:abstractNumId w:val="18"/>
  </w:num>
  <w:num w:numId="16">
    <w:abstractNumId w:val="2"/>
  </w:num>
  <w:num w:numId="17">
    <w:abstractNumId w:val="8"/>
  </w:num>
  <w:num w:numId="18">
    <w:abstractNumId w:val="0"/>
  </w:num>
  <w:num w:numId="19">
    <w:abstractNumId w:val="1"/>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DC"/>
    <w:rsid w:val="00055872"/>
    <w:rsid w:val="0005725C"/>
    <w:rsid w:val="00071D19"/>
    <w:rsid w:val="000F54F4"/>
    <w:rsid w:val="000F6E92"/>
    <w:rsid w:val="00143A07"/>
    <w:rsid w:val="00143E7F"/>
    <w:rsid w:val="001949C6"/>
    <w:rsid w:val="001B2403"/>
    <w:rsid w:val="001B298F"/>
    <w:rsid w:val="001C72BF"/>
    <w:rsid w:val="001D15A9"/>
    <w:rsid w:val="002130AC"/>
    <w:rsid w:val="00221188"/>
    <w:rsid w:val="00231A4D"/>
    <w:rsid w:val="00234769"/>
    <w:rsid w:val="00244C75"/>
    <w:rsid w:val="00247460"/>
    <w:rsid w:val="00275959"/>
    <w:rsid w:val="00295FFC"/>
    <w:rsid w:val="002E34AE"/>
    <w:rsid w:val="002E37E6"/>
    <w:rsid w:val="002F365C"/>
    <w:rsid w:val="003038E8"/>
    <w:rsid w:val="00322798"/>
    <w:rsid w:val="003620FB"/>
    <w:rsid w:val="003758BD"/>
    <w:rsid w:val="00377A4D"/>
    <w:rsid w:val="00383C8B"/>
    <w:rsid w:val="003C2606"/>
    <w:rsid w:val="003D0BC4"/>
    <w:rsid w:val="003D0C9B"/>
    <w:rsid w:val="003D390D"/>
    <w:rsid w:val="004147E4"/>
    <w:rsid w:val="0041673B"/>
    <w:rsid w:val="004263FE"/>
    <w:rsid w:val="0043455A"/>
    <w:rsid w:val="0043799C"/>
    <w:rsid w:val="004813E5"/>
    <w:rsid w:val="004A2920"/>
    <w:rsid w:val="004A6CC8"/>
    <w:rsid w:val="004B1271"/>
    <w:rsid w:val="004D77F6"/>
    <w:rsid w:val="004E1A59"/>
    <w:rsid w:val="004E6444"/>
    <w:rsid w:val="00513403"/>
    <w:rsid w:val="00517866"/>
    <w:rsid w:val="00532619"/>
    <w:rsid w:val="00550CD1"/>
    <w:rsid w:val="0055615B"/>
    <w:rsid w:val="0055766E"/>
    <w:rsid w:val="00570CC7"/>
    <w:rsid w:val="00573912"/>
    <w:rsid w:val="0058216C"/>
    <w:rsid w:val="00590113"/>
    <w:rsid w:val="005911BE"/>
    <w:rsid w:val="00592EB2"/>
    <w:rsid w:val="005B1109"/>
    <w:rsid w:val="005C277B"/>
    <w:rsid w:val="005C2C7A"/>
    <w:rsid w:val="005D1B99"/>
    <w:rsid w:val="005D546E"/>
    <w:rsid w:val="005D795B"/>
    <w:rsid w:val="005E62C2"/>
    <w:rsid w:val="005E7FE5"/>
    <w:rsid w:val="006005AD"/>
    <w:rsid w:val="006041FA"/>
    <w:rsid w:val="00607B07"/>
    <w:rsid w:val="00627227"/>
    <w:rsid w:val="00643765"/>
    <w:rsid w:val="00652F7A"/>
    <w:rsid w:val="00670FB7"/>
    <w:rsid w:val="006A4599"/>
    <w:rsid w:val="006B5A7B"/>
    <w:rsid w:val="006B7EF3"/>
    <w:rsid w:val="006C0080"/>
    <w:rsid w:val="007234CE"/>
    <w:rsid w:val="0073753C"/>
    <w:rsid w:val="00753D29"/>
    <w:rsid w:val="007A2B23"/>
    <w:rsid w:val="007B1EE2"/>
    <w:rsid w:val="007D775B"/>
    <w:rsid w:val="007F45C5"/>
    <w:rsid w:val="00802765"/>
    <w:rsid w:val="00815957"/>
    <w:rsid w:val="00824F87"/>
    <w:rsid w:val="00831EA2"/>
    <w:rsid w:val="008332A5"/>
    <w:rsid w:val="00840483"/>
    <w:rsid w:val="00843B1F"/>
    <w:rsid w:val="008505F6"/>
    <w:rsid w:val="00854914"/>
    <w:rsid w:val="00864AAF"/>
    <w:rsid w:val="008876A1"/>
    <w:rsid w:val="00890448"/>
    <w:rsid w:val="008A7BE0"/>
    <w:rsid w:val="008C05A2"/>
    <w:rsid w:val="008E1B08"/>
    <w:rsid w:val="009003E1"/>
    <w:rsid w:val="00920A06"/>
    <w:rsid w:val="00922EC1"/>
    <w:rsid w:val="009579D0"/>
    <w:rsid w:val="00971625"/>
    <w:rsid w:val="009D7659"/>
    <w:rsid w:val="009E1C8F"/>
    <w:rsid w:val="009E4032"/>
    <w:rsid w:val="009F1E2D"/>
    <w:rsid w:val="00A241C2"/>
    <w:rsid w:val="00A3692C"/>
    <w:rsid w:val="00A861A0"/>
    <w:rsid w:val="00A96558"/>
    <w:rsid w:val="00AA73DF"/>
    <w:rsid w:val="00AC1DC6"/>
    <w:rsid w:val="00AD6C85"/>
    <w:rsid w:val="00AF0E0A"/>
    <w:rsid w:val="00AF71E4"/>
    <w:rsid w:val="00B0050E"/>
    <w:rsid w:val="00B04193"/>
    <w:rsid w:val="00B16F51"/>
    <w:rsid w:val="00B26049"/>
    <w:rsid w:val="00B57858"/>
    <w:rsid w:val="00B71C3B"/>
    <w:rsid w:val="00B8766A"/>
    <w:rsid w:val="00BA1720"/>
    <w:rsid w:val="00BA63AA"/>
    <w:rsid w:val="00BB32B1"/>
    <w:rsid w:val="00BB5374"/>
    <w:rsid w:val="00BD2AF7"/>
    <w:rsid w:val="00BF26A4"/>
    <w:rsid w:val="00C12F51"/>
    <w:rsid w:val="00C1373B"/>
    <w:rsid w:val="00C40D5B"/>
    <w:rsid w:val="00C57C28"/>
    <w:rsid w:val="00C71BE8"/>
    <w:rsid w:val="00CA78BD"/>
    <w:rsid w:val="00CB41D9"/>
    <w:rsid w:val="00D06132"/>
    <w:rsid w:val="00D064DC"/>
    <w:rsid w:val="00D11C6F"/>
    <w:rsid w:val="00D7257E"/>
    <w:rsid w:val="00D77450"/>
    <w:rsid w:val="00DB3AD4"/>
    <w:rsid w:val="00DC2E4B"/>
    <w:rsid w:val="00DC522E"/>
    <w:rsid w:val="00DD3368"/>
    <w:rsid w:val="00DE6388"/>
    <w:rsid w:val="00E32E81"/>
    <w:rsid w:val="00E62F22"/>
    <w:rsid w:val="00E97716"/>
    <w:rsid w:val="00EA055F"/>
    <w:rsid w:val="00EA44F1"/>
    <w:rsid w:val="00EF5E2B"/>
    <w:rsid w:val="00F37C45"/>
    <w:rsid w:val="00F75564"/>
    <w:rsid w:val="00F77EF5"/>
    <w:rsid w:val="00F82DAD"/>
    <w:rsid w:val="00F875C0"/>
    <w:rsid w:val="00FC5DEB"/>
    <w:rsid w:val="00FC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DA6E3A"/>
  <w15:chartTrackingRefBased/>
  <w15:docId w15:val="{CC62AF63-7029-44B2-9A49-266CF57D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3D29"/>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B26049"/>
  </w:style>
  <w:style w:type="paragraph" w:customStyle="1" w:styleId="Default">
    <w:name w:val="Default"/>
    <w:rsid w:val="00592EB2"/>
    <w:pPr>
      <w:autoSpaceDE w:val="0"/>
      <w:autoSpaceDN w:val="0"/>
      <w:adjustRightInd w:val="0"/>
      <w:spacing w:after="0" w:line="240" w:lineRule="auto"/>
    </w:pPr>
    <w:rPr>
      <w:rFonts w:ascii="Symbol" w:hAnsi="Symbol" w:cs="Symbol"/>
      <w:color w:val="000000"/>
      <w:sz w:val="24"/>
      <w:szCs w:val="24"/>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592EB2"/>
    <w:pPr>
      <w:ind w:left="720"/>
      <w:contextualSpacing/>
    </w:pPr>
  </w:style>
  <w:style w:type="character" w:styleId="Hypertextovodkaz">
    <w:name w:val="Hyperlink"/>
    <w:basedOn w:val="Standardnpsmoodstavce"/>
    <w:uiPriority w:val="99"/>
    <w:unhideWhenUsed/>
    <w:rsid w:val="0041673B"/>
    <w:rPr>
      <w:color w:val="0563C1" w:themeColor="hyperlink"/>
      <w:u w:val="single"/>
    </w:rPr>
  </w:style>
  <w:style w:type="character" w:styleId="Odkaznakoment">
    <w:name w:val="annotation reference"/>
    <w:basedOn w:val="Standardnpsmoodstavce"/>
    <w:uiPriority w:val="99"/>
    <w:semiHidden/>
    <w:unhideWhenUsed/>
    <w:rsid w:val="00643765"/>
    <w:rPr>
      <w:sz w:val="16"/>
      <w:szCs w:val="16"/>
    </w:rPr>
  </w:style>
  <w:style w:type="paragraph" w:styleId="Textkomente">
    <w:name w:val="annotation text"/>
    <w:basedOn w:val="Normln"/>
    <w:link w:val="TextkomenteChar"/>
    <w:uiPriority w:val="99"/>
    <w:semiHidden/>
    <w:unhideWhenUsed/>
    <w:rsid w:val="00643765"/>
    <w:rPr>
      <w:sz w:val="20"/>
      <w:szCs w:val="20"/>
    </w:rPr>
  </w:style>
  <w:style w:type="character" w:customStyle="1" w:styleId="TextkomenteChar">
    <w:name w:val="Text komentáře Char"/>
    <w:basedOn w:val="Standardnpsmoodstavce"/>
    <w:link w:val="Textkomente"/>
    <w:uiPriority w:val="99"/>
    <w:semiHidden/>
    <w:rsid w:val="00643765"/>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643765"/>
    <w:rPr>
      <w:b/>
      <w:bCs/>
    </w:rPr>
  </w:style>
  <w:style w:type="character" w:customStyle="1" w:styleId="PedmtkomenteChar">
    <w:name w:val="Předmět komentáře Char"/>
    <w:basedOn w:val="TextkomenteChar"/>
    <w:link w:val="Pedmtkomente"/>
    <w:uiPriority w:val="99"/>
    <w:semiHidden/>
    <w:rsid w:val="00643765"/>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64376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765"/>
    <w:rPr>
      <w:rFonts w:ascii="Segoe UI" w:eastAsia="Calibri" w:hAnsi="Segoe UI" w:cs="Segoe UI"/>
      <w:sz w:val="18"/>
      <w:szCs w:val="18"/>
      <w:lang w:eastAsia="cs-CZ"/>
    </w:rPr>
  </w:style>
  <w:style w:type="paragraph" w:styleId="Zhlav">
    <w:name w:val="header"/>
    <w:basedOn w:val="Normln"/>
    <w:link w:val="ZhlavChar"/>
    <w:uiPriority w:val="99"/>
    <w:unhideWhenUsed/>
    <w:rsid w:val="00A3692C"/>
    <w:pPr>
      <w:tabs>
        <w:tab w:val="center" w:pos="4536"/>
        <w:tab w:val="right" w:pos="9072"/>
      </w:tabs>
      <w:spacing w:after="0"/>
    </w:pPr>
  </w:style>
  <w:style w:type="character" w:customStyle="1" w:styleId="ZhlavChar">
    <w:name w:val="Záhlaví Char"/>
    <w:basedOn w:val="Standardnpsmoodstavce"/>
    <w:link w:val="Zhlav"/>
    <w:uiPriority w:val="99"/>
    <w:rsid w:val="00A3692C"/>
    <w:rPr>
      <w:rFonts w:ascii="Calibri" w:eastAsia="Calibri" w:hAnsi="Calibri" w:cs="Calibri"/>
      <w:lang w:eastAsia="cs-CZ"/>
    </w:rPr>
  </w:style>
  <w:style w:type="paragraph" w:styleId="Zpat">
    <w:name w:val="footer"/>
    <w:basedOn w:val="Normln"/>
    <w:link w:val="ZpatChar"/>
    <w:uiPriority w:val="99"/>
    <w:unhideWhenUsed/>
    <w:rsid w:val="00A3692C"/>
    <w:pPr>
      <w:tabs>
        <w:tab w:val="center" w:pos="4536"/>
        <w:tab w:val="right" w:pos="9072"/>
      </w:tabs>
      <w:spacing w:after="0"/>
    </w:pPr>
  </w:style>
  <w:style w:type="character" w:customStyle="1" w:styleId="ZpatChar">
    <w:name w:val="Zápatí Char"/>
    <w:basedOn w:val="Standardnpsmoodstavce"/>
    <w:link w:val="Zpat"/>
    <w:uiPriority w:val="99"/>
    <w:rsid w:val="00A3692C"/>
    <w:rPr>
      <w:rFonts w:ascii="Calibri" w:eastAsia="Calibri" w:hAnsi="Calibri" w:cs="Calibri"/>
      <w:lang w:eastAsia="cs-CZ"/>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B71C3B"/>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jovske-slovacko.com/sites/default/files/prilohy/2022/01/clld_21_04_127_signovana_pro_podani_do_ms2021.pdf" TargetMode="External"/><Relationship Id="rId13" Type="http://schemas.openxmlformats.org/officeDocument/2006/relationships/hyperlink" Target="https://irop.gov.cz/getmedia/caed70a1-d8e4-4b42-832d-04e0ffd930dd/Obecna-pravidla-2021-2027_verze-3.pdf.aspx?ex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yjovske-slovacko.com/cs/4-vyzva-irop-21-cestovni-ru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yjovske-slovacko.com/cs/kontak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p@kyjovske-slovacko.com" TargetMode="External"/><Relationship Id="rId5" Type="http://schemas.openxmlformats.org/officeDocument/2006/relationships/webSettings" Target="webSettings.xml"/><Relationship Id="rId15" Type="http://schemas.openxmlformats.org/officeDocument/2006/relationships/hyperlink" Target="https://irop.gov.cz/cs/vyzvy-2021-2027/vyzvy/86vyzvairop" TargetMode="External"/><Relationship Id="rId10" Type="http://schemas.openxmlformats.org/officeDocument/2006/relationships/hyperlink" Target="https://kct.cz/irop-cestovni-ru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yjovske-slovacko.com/cs/mapy-uzemi" TargetMode="External"/><Relationship Id="rId14" Type="http://schemas.openxmlformats.org/officeDocument/2006/relationships/hyperlink" Target="https://irop.gov.cz/getmedia/24b283f3-b9df-4a9c-9b88-2e91edd2e8f0/Specificka_pravidla_86v_Cestovni-ruch_CLLD.pdf.aspx?ex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5C1B-E901-4886-B622-421FB4F9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3008</Words>
  <Characters>17750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Tomáš Kolařík</cp:lastModifiedBy>
  <cp:revision>140</cp:revision>
  <dcterms:created xsi:type="dcterms:W3CDTF">2023-04-17T12:53:00Z</dcterms:created>
  <dcterms:modified xsi:type="dcterms:W3CDTF">2024-01-11T07:34:00Z</dcterms:modified>
</cp:coreProperties>
</file>