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3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7"/>
        <w:gridCol w:w="6753"/>
      </w:tblGrid>
      <w:tr w:rsidR="00753D29" w:rsidRPr="00BA701F" w14:paraId="14BAD7DB" w14:textId="77777777" w:rsidTr="00164EB5">
        <w:trPr>
          <w:trHeight w:val="1896"/>
        </w:trPr>
        <w:tc>
          <w:tcPr>
            <w:tcW w:w="1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4A4" w14:textId="005E81DE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0"/>
            </w:tblGrid>
            <w:tr w:rsidR="00753D29" w:rsidRPr="00BA701F" w14:paraId="32DBAA93" w14:textId="77777777" w:rsidTr="00106376">
              <w:trPr>
                <w:trHeight w:val="1896"/>
                <w:tblCellSpacing w:w="0" w:type="dxa"/>
              </w:trPr>
              <w:tc>
                <w:tcPr>
                  <w:tcW w:w="1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DE233" w14:textId="55DBD9DE" w:rsidR="00753D29" w:rsidRPr="00BA701F" w:rsidRDefault="00753D29" w:rsidP="00606EF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Kyjovské Slovácko v </w:t>
                  </w:r>
                  <w:proofErr w:type="gramStart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pohybu, </w:t>
                  </w:r>
                  <w:proofErr w:type="spellStart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z.s</w:t>
                  </w:r>
                  <w:proofErr w:type="spellEnd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A701F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vyhlašuje </w:t>
                  </w:r>
                  <w:r w:rsidR="00164EB5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10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. výzvu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A701F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s názvem</w:t>
                  </w:r>
                  <w:bookmarkStart w:id="0" w:name="_GoBack"/>
                  <w:bookmarkEnd w:id="0"/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="00164EB5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10</w:t>
                  </w:r>
                  <w:r w:rsidRPr="00753D29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. Výzva IROP 21+ </w:t>
                  </w:r>
                  <w:r w:rsidR="00606EFB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sociální služby</w:t>
                  </w:r>
                  <w:r w:rsidR="00DB2DF0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02BA08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5BEE9483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9A7D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Identifikace výzvy</w:t>
            </w:r>
          </w:p>
        </w:tc>
      </w:tr>
      <w:tr w:rsidR="00753D29" w:rsidRPr="00BA701F" w14:paraId="3D0353BE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3D0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Operační program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34C6" w14:textId="77777777" w:rsidR="00753D29" w:rsidRPr="00F77EF5" w:rsidRDefault="00B26049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Integrovaný regionální operační program 2021–2027</w:t>
            </w:r>
          </w:p>
        </w:tc>
      </w:tr>
      <w:tr w:rsidR="00753D29" w:rsidRPr="00BA701F" w14:paraId="519B18D5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06243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Číslo a název výzvy ŘO IROP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DB1" w14:textId="5807BCCC" w:rsidR="00753D29" w:rsidRPr="00606EFB" w:rsidRDefault="00606EFB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  <w:r w:rsidRPr="00A427AC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49. výzva IROP - Sociální služby - SC 5.1 (CLLD)</w:t>
            </w:r>
          </w:p>
        </w:tc>
      </w:tr>
      <w:tr w:rsidR="00753D29" w:rsidRPr="00BA701F" w14:paraId="7C9CBF12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950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Číslo a název výzvy MAS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5E4" w14:textId="27489586" w:rsidR="00753D29" w:rsidRPr="00F77EF5" w:rsidRDefault="00164EB5" w:rsidP="00606EFB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10</w:t>
            </w:r>
            <w:r w:rsidR="001B2403" w:rsidRPr="00F77EF5">
              <w:rPr>
                <w:rStyle w:val="markedcontent"/>
                <w:rFonts w:asciiTheme="minorHAnsi" w:hAnsiTheme="minorHAnsi" w:cstheme="minorHAnsi"/>
              </w:rPr>
              <w:t xml:space="preserve">. Výzva IROP 21+ </w:t>
            </w:r>
            <w:r w:rsidR="00606EFB">
              <w:rPr>
                <w:rStyle w:val="markedcontent"/>
                <w:rFonts w:asciiTheme="minorHAnsi" w:hAnsiTheme="minorHAnsi" w:cstheme="minorHAnsi"/>
              </w:rPr>
              <w:t>Sociální služby</w:t>
            </w:r>
            <w:r w:rsidR="00DB2DF0">
              <w:rPr>
                <w:rStyle w:val="markedcontent"/>
                <w:rFonts w:asciiTheme="minorHAnsi" w:hAnsiTheme="minorHAnsi" w:cstheme="minorHAnsi"/>
              </w:rPr>
              <w:t xml:space="preserve"> </w:t>
            </w:r>
          </w:p>
        </w:tc>
      </w:tr>
      <w:tr w:rsidR="00753D29" w:rsidRPr="00BA701F" w14:paraId="0D65DDD7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0E2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Opatření Programového rámce IROP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8E8" w14:textId="24EC1B91" w:rsidR="00753D29" w:rsidRPr="00F77EF5" w:rsidRDefault="00606EFB" w:rsidP="00606EFB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</w:rPr>
              <w:t>Opatření 2</w:t>
            </w:r>
            <w:r w:rsidR="001B2403" w:rsidRPr="00F77EF5">
              <w:rPr>
                <w:rFonts w:asciiTheme="minorHAnsi" w:eastAsia="Arial" w:hAnsiTheme="minorHAnsi" w:cstheme="minorHAnsi"/>
              </w:rPr>
              <w:t xml:space="preserve"> IROP </w:t>
            </w:r>
            <w:r>
              <w:rPr>
                <w:rFonts w:asciiTheme="minorHAnsi" w:eastAsia="Arial" w:hAnsiTheme="minorHAnsi" w:cstheme="minorHAnsi"/>
              </w:rPr>
              <w:t>–</w:t>
            </w:r>
            <w:r w:rsidR="001B2403" w:rsidRPr="00F77EF5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>SOCIÁLNÍ SLUŽBY</w:t>
            </w:r>
          </w:p>
        </w:tc>
      </w:tr>
      <w:tr w:rsidR="00071D19" w:rsidRPr="00BA701F" w14:paraId="68DD51EC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5CC94" w14:textId="5BD053A0" w:rsidR="00071D19" w:rsidRPr="00BA701F" w:rsidRDefault="00071D1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Úvodní informace k výzvě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0868" w14:textId="715FF2BB" w:rsidR="00071D19" w:rsidRPr="00F77EF5" w:rsidRDefault="00071D19" w:rsidP="00984C27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071D19">
              <w:rPr>
                <w:rStyle w:val="markedcontent"/>
                <w:rFonts w:asciiTheme="minorHAnsi" w:hAnsiTheme="minorHAnsi" w:cstheme="minorHAnsi"/>
              </w:rPr>
              <w:t>Výzva MAS je určena pro výběr projektových záměrů, kterým bude na základě procesu výběru stanoveném v Interních postupech MAS</w:t>
            </w:r>
            <w:r w:rsidR="00984C27">
              <w:rPr>
                <w:rStyle w:val="markedcontent"/>
                <w:rFonts w:asciiTheme="minorHAnsi" w:hAnsiTheme="minorHAnsi" w:cstheme="minorHAnsi"/>
              </w:rPr>
              <w:t xml:space="preserve"> vydáno Vyjádření MAS o souladu</w:t>
            </w:r>
            <w:r w:rsidRPr="00071D19">
              <w:rPr>
                <w:rStyle w:val="markedcontent"/>
                <w:rFonts w:asciiTheme="minorHAnsi" w:hAnsiTheme="minorHAnsi" w:cstheme="minorHAnsi"/>
              </w:rPr>
              <w:t xml:space="preserve"> projektového záměru se schválenou strategií CLLD. Kladné vyjádření vydává MAS pouze do 100% alokace výzvy MAS za splnění podmínek výzvy MAS. Na základě obdržení Vyjádření MAS o souladu se schválenou strategií CLLD jsou žadateli rezervovány prostředky v rámci příslušného opatření programového rámce IROP. Po obdržení Vyjádření MAS o souladu se schválenou strategií CLLD žadatel zahájí dopracování projektového záměru a jeho předložení v systému MS2021+ do příslušné výzvy ŘO. Žadatel se řídí do vydání Právního aktu/Rozhodnutí verzí pravidel účinných v den podání žádosti o podporu. V době realizace a udržitelnosti projektu, tj. od vydání Právního aktu/Rozhodnutí se příjemce řídí aktuálně účinnou verzí pravidel.</w:t>
            </w:r>
          </w:p>
        </w:tc>
      </w:tr>
      <w:tr w:rsidR="00753D29" w:rsidRPr="00BA701F" w14:paraId="6BB3E717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479E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28F4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1718DF38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53E03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Termíny</w:t>
            </w:r>
          </w:p>
        </w:tc>
      </w:tr>
      <w:tr w:rsidR="00164EB5" w:rsidRPr="00BA701F" w14:paraId="3BC71565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83100" w14:textId="77777777" w:rsidR="00164EB5" w:rsidRPr="00BA701F" w:rsidRDefault="00164EB5" w:rsidP="00164EB5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Datum a čas vyhlášení výzvy MAS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95AD" w14:textId="4C53F4CF" w:rsidR="00164EB5" w:rsidRPr="00BD2AF7" w:rsidRDefault="00164EB5" w:rsidP="00164EB5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D2AF7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23. 3. 2026</w:t>
            </w:r>
            <w:r w:rsidRPr="00BD2AF7">
              <w:rPr>
                <w:rFonts w:eastAsia="Times New Roman"/>
                <w:color w:val="000000"/>
              </w:rPr>
              <w:t>, 12:00 hod.</w:t>
            </w:r>
          </w:p>
        </w:tc>
      </w:tr>
      <w:tr w:rsidR="00164EB5" w:rsidRPr="00BA701F" w14:paraId="663EC79D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C8DCB" w14:textId="77777777" w:rsidR="00164EB5" w:rsidRPr="00BA701F" w:rsidRDefault="00164EB5" w:rsidP="00164EB5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Datum a čas zahájení příjmu žádostí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73D" w14:textId="6FF381A6" w:rsidR="00164EB5" w:rsidRPr="00BD2AF7" w:rsidRDefault="00164EB5" w:rsidP="00164EB5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D2AF7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23. 3. 2026</w:t>
            </w:r>
            <w:r w:rsidRPr="00BD2AF7">
              <w:rPr>
                <w:rFonts w:eastAsia="Times New Roman"/>
                <w:color w:val="000000"/>
              </w:rPr>
              <w:t>, 12:00 hod.</w:t>
            </w:r>
          </w:p>
        </w:tc>
      </w:tr>
      <w:tr w:rsidR="00164EB5" w:rsidRPr="00BA701F" w14:paraId="4CC6C98F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CC4AE" w14:textId="77777777" w:rsidR="00164EB5" w:rsidRPr="00BA701F" w:rsidRDefault="00164EB5" w:rsidP="00164EB5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Datum a čas ukončení příjmu žádostí o podporu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73D" w14:textId="02CF3322" w:rsidR="00164EB5" w:rsidRPr="00BA701F" w:rsidRDefault="00164EB5" w:rsidP="00164EB5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11. 5. 2026, 12:00 hod.</w:t>
            </w:r>
          </w:p>
        </w:tc>
      </w:tr>
      <w:tr w:rsidR="00753D29" w:rsidRPr="00BA701F" w14:paraId="6A781569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4A18" w14:textId="242D5CE8" w:rsidR="00753D29" w:rsidRPr="00BA701F" w:rsidRDefault="00AF71E4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Počáteční</w:t>
            </w:r>
            <w:r w:rsidR="004B1271">
              <w:rPr>
                <w:rFonts w:eastAsia="Times New Roman"/>
                <w:b/>
                <w:bCs/>
                <w:color w:val="000000"/>
              </w:rPr>
              <w:t xml:space="preserve"> d</w:t>
            </w:r>
            <w:r w:rsidR="00753D29" w:rsidRPr="00BA701F">
              <w:rPr>
                <w:rFonts w:eastAsia="Times New Roman"/>
                <w:b/>
                <w:bCs/>
                <w:color w:val="000000"/>
              </w:rPr>
              <w:t>atum zahájení realizace projektu</w:t>
            </w:r>
            <w:r>
              <w:rPr>
                <w:rFonts w:eastAsia="Times New Roman"/>
                <w:b/>
                <w:bCs/>
                <w:color w:val="000000"/>
              </w:rPr>
              <w:t xml:space="preserve"> - nejdříve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37B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1. 1. 2021</w:t>
            </w:r>
          </w:p>
        </w:tc>
      </w:tr>
      <w:tr w:rsidR="00753D29" w:rsidRPr="00BA701F" w14:paraId="1EAC09AA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A4FC0" w14:textId="24FBAF94" w:rsidR="00753D29" w:rsidRPr="00BA701F" w:rsidRDefault="004B1271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Nejzazší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d</w:t>
            </w:r>
            <w:r w:rsidR="00753D29" w:rsidRPr="00BA701F">
              <w:rPr>
                <w:rFonts w:eastAsia="Times New Roman"/>
                <w:b/>
                <w:bCs/>
                <w:color w:val="000000"/>
              </w:rPr>
              <w:t>atum ukončení realizace projektu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5F0" w14:textId="3EFEE263" w:rsidR="005C2C7A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C1373B">
              <w:rPr>
                <w:rFonts w:eastAsia="Times New Roman"/>
                <w:color w:val="000000"/>
              </w:rPr>
              <w:t>30. 6. 2029</w:t>
            </w:r>
            <w:r w:rsidR="005C2C7A">
              <w:rPr>
                <w:rFonts w:eastAsia="Times New Roman"/>
                <w:color w:val="000000"/>
              </w:rPr>
              <w:t xml:space="preserve"> </w:t>
            </w:r>
          </w:p>
          <w:p w14:paraId="17811D5F" w14:textId="77777777" w:rsidR="00231A4D" w:rsidRDefault="00231A4D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Realizace projektu nesmí být formálně ani fyzicky ukončena před podáním žádosti o podporu v MS2021+.</w:t>
            </w:r>
          </w:p>
          <w:p w14:paraId="21323871" w14:textId="14293D1D" w:rsidR="007234CE" w:rsidRPr="00BA701F" w:rsidRDefault="003D0C9B" w:rsidP="00C57C28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Žadatel uvádí v projektovém záměru D</w:t>
            </w:r>
            <w:r w:rsidRPr="003D0C9B">
              <w:rPr>
                <w:rFonts w:eastAsia="Times New Roman"/>
                <w:color w:val="000000"/>
              </w:rPr>
              <w:t>atum předložení dokumentace k závěrečnému vyhodnocení akce na ŘO IROP (podání Žádosti o platbu)</w:t>
            </w:r>
            <w:r>
              <w:rPr>
                <w:rFonts w:eastAsia="Times New Roman"/>
                <w:color w:val="000000"/>
              </w:rPr>
              <w:t xml:space="preserve">. </w:t>
            </w:r>
            <w:r w:rsidR="008E1B08">
              <w:rPr>
                <w:rFonts w:eastAsia="Times New Roman"/>
                <w:color w:val="000000"/>
              </w:rPr>
              <w:t xml:space="preserve">Od tohoto data se odvíjí </w:t>
            </w:r>
            <w:r w:rsidR="008E1B08" w:rsidRPr="008E1B08">
              <w:rPr>
                <w:rFonts w:eastAsia="Times New Roman"/>
                <w:color w:val="000000"/>
              </w:rPr>
              <w:t>Nejzazší datum ukončení realizace projektu</w:t>
            </w:r>
            <w:r w:rsidR="003620FB">
              <w:rPr>
                <w:rFonts w:eastAsia="Times New Roman"/>
                <w:color w:val="000000"/>
              </w:rPr>
              <w:t>, které musí být nastaveno na 20 pracovních dní před tímto datem.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7234CE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FC7B39" w:rsidRPr="00BA701F" w14:paraId="0EE5D90A" w14:textId="77777777" w:rsidTr="00164EB5">
        <w:trPr>
          <w:trHeight w:val="521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28C2BC" w14:textId="111CC12C" w:rsidR="00FC7B39" w:rsidRDefault="00FC7B3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Nejzazší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d</w:t>
            </w:r>
            <w:r w:rsidRPr="00BA701F">
              <w:rPr>
                <w:rFonts w:eastAsia="Times New Roman"/>
                <w:b/>
                <w:bCs/>
                <w:color w:val="000000"/>
              </w:rPr>
              <w:t>atum</w:t>
            </w:r>
            <w:r>
              <w:rPr>
                <w:rFonts w:eastAsia="Times New Roman"/>
                <w:b/>
                <w:bCs/>
                <w:color w:val="000000"/>
              </w:rPr>
              <w:t xml:space="preserve"> pro podání projektu přes MS 2021+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A034" w14:textId="3164A70C" w:rsidR="00FC7B39" w:rsidRPr="00BA701F" w:rsidRDefault="00164EB5" w:rsidP="002E37E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30. 10. 2026</w:t>
            </w:r>
          </w:p>
        </w:tc>
      </w:tr>
      <w:tr w:rsidR="00753D29" w:rsidRPr="00BA701F" w14:paraId="36BEE132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849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79C8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3E0692D4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1899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Podpora</w:t>
            </w:r>
          </w:p>
        </w:tc>
      </w:tr>
      <w:tr w:rsidR="00753D29" w:rsidRPr="00BA701F" w14:paraId="0C133D3B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A26A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</w:rPr>
            </w:pPr>
            <w:r w:rsidRPr="00BA701F">
              <w:rPr>
                <w:rFonts w:eastAsia="Times New Roman"/>
                <w:b/>
                <w:bCs/>
              </w:rPr>
              <w:t>Alokace výzvy MAS (CZV)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65B" w14:textId="0C8C8C70" w:rsidR="00753D29" w:rsidRPr="00BA701F" w:rsidRDefault="00753D29" w:rsidP="00127F9F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41C58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 xml:space="preserve">5 660 007 </w:t>
            </w:r>
            <w:r w:rsidR="00127F9F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Kč</w:t>
            </w:r>
          </w:p>
        </w:tc>
      </w:tr>
      <w:tr w:rsidR="00753D29" w:rsidRPr="00BA701F" w14:paraId="4B17A1CC" w14:textId="77777777" w:rsidTr="00164EB5">
        <w:trPr>
          <w:trHeight w:val="52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0AE70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Míra podpory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CC2" w14:textId="77777777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95 % z</w:t>
            </w:r>
            <w:r w:rsidR="005D795B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CZV</w:t>
            </w:r>
            <w:r w:rsidR="005D795B">
              <w:rPr>
                <w:rFonts w:eastAsia="Times New Roman"/>
                <w:color w:val="000000"/>
              </w:rPr>
              <w:t xml:space="preserve"> (</w:t>
            </w:r>
            <w:r w:rsidR="005D795B" w:rsidRPr="005D795B">
              <w:rPr>
                <w:rFonts w:eastAsia="Times New Roman"/>
                <w:color w:val="000000"/>
              </w:rPr>
              <w:t>EFRR 80 %, SR 15 %</w:t>
            </w:r>
            <w:r w:rsidR="005D795B">
              <w:rPr>
                <w:rFonts w:eastAsia="Times New Roman"/>
                <w:color w:val="000000"/>
              </w:rPr>
              <w:t>)</w:t>
            </w:r>
          </w:p>
        </w:tc>
      </w:tr>
      <w:tr w:rsidR="00753D29" w:rsidRPr="00BA701F" w14:paraId="30F68B8B" w14:textId="77777777" w:rsidTr="00164EB5">
        <w:trPr>
          <w:trHeight w:val="576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E859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Minimální výše celkových způsobilých výdajů projektu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84FB" w14:textId="29888C37" w:rsidR="00753D29" w:rsidRPr="00BA701F" w:rsidRDefault="00CC6493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</w:t>
            </w:r>
            <w:r w:rsidR="005D795B">
              <w:rPr>
                <w:rFonts w:eastAsia="Times New Roman"/>
                <w:color w:val="000000"/>
              </w:rPr>
              <w:t>000 Kč</w:t>
            </w:r>
          </w:p>
        </w:tc>
      </w:tr>
      <w:tr w:rsidR="00753D29" w:rsidRPr="00BA701F" w14:paraId="5232649C" w14:textId="77777777" w:rsidTr="00164EB5">
        <w:trPr>
          <w:trHeight w:val="57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41EC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Maximální výše celkových způsobilých výdajů projektu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701" w14:textId="1259FD0D" w:rsidR="00753D29" w:rsidRPr="00BA701F" w:rsidRDefault="00A43823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 xml:space="preserve">5 660 007 </w:t>
            </w:r>
            <w:r w:rsidR="00127F9F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Kč</w:t>
            </w:r>
          </w:p>
        </w:tc>
      </w:tr>
      <w:tr w:rsidR="00753D29" w:rsidRPr="00BA701F" w14:paraId="7E8A61D8" w14:textId="77777777" w:rsidTr="00164EB5">
        <w:trPr>
          <w:trHeight w:val="55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86F1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lastRenderedPageBreak/>
              <w:t>Forma podpory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653" w14:textId="77777777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D795B">
              <w:rPr>
                <w:rFonts w:eastAsia="Times New Roman"/>
                <w:color w:val="000000"/>
              </w:rPr>
              <w:t>Ex post financování</w:t>
            </w:r>
          </w:p>
        </w:tc>
      </w:tr>
      <w:tr w:rsidR="00753D29" w:rsidRPr="00BA701F" w14:paraId="000802F0" w14:textId="77777777" w:rsidTr="00164EB5">
        <w:trPr>
          <w:trHeight w:val="288"/>
        </w:trPr>
        <w:tc>
          <w:tcPr>
            <w:tcW w:w="4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78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CE46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23BF54D4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6ACF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Zacílení podpory</w:t>
            </w:r>
          </w:p>
        </w:tc>
      </w:tr>
      <w:tr w:rsidR="00753D29" w:rsidRPr="00BA701F" w14:paraId="424C28ED" w14:textId="77777777" w:rsidTr="00164EB5">
        <w:trPr>
          <w:trHeight w:val="288"/>
        </w:trPr>
        <w:tc>
          <w:tcPr>
            <w:tcW w:w="4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1105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Typy podporovaných projektů</w:t>
            </w:r>
          </w:p>
        </w:tc>
        <w:tc>
          <w:tcPr>
            <w:tcW w:w="6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37A4" w14:textId="77777777" w:rsidR="001C1BDF" w:rsidRPr="001C1BDF" w:rsidRDefault="001C1BDF" w:rsidP="001C1BD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C1BDF">
              <w:rPr>
                <w:rFonts w:eastAsia="Times New Roman"/>
                <w:color w:val="000000"/>
              </w:rPr>
              <w:t>Infrastruktura sociálních služeb</w:t>
            </w:r>
          </w:p>
          <w:p w14:paraId="22906996" w14:textId="7CE068C8" w:rsidR="001C1BDF" w:rsidRPr="001C1BDF" w:rsidRDefault="001C1BDF" w:rsidP="001C1BD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C1BDF">
              <w:rPr>
                <w:rFonts w:eastAsia="Times New Roman"/>
                <w:color w:val="000000"/>
              </w:rPr>
              <w:t xml:space="preserve">• sociální služby poskytované podle zákona č. 108/2006 Sb., </w:t>
            </w:r>
            <w:r>
              <w:rPr>
                <w:rFonts w:eastAsia="Times New Roman"/>
                <w:color w:val="000000"/>
              </w:rPr>
              <w:t xml:space="preserve">o sociálních službách, ve znění </w:t>
            </w:r>
            <w:r w:rsidRPr="001C1BDF">
              <w:rPr>
                <w:rFonts w:eastAsia="Times New Roman"/>
                <w:color w:val="000000"/>
              </w:rPr>
              <w:t>pozdějších předpisů (dále jen „zákon č. 108/2006 Sb., o sociálních službách“).</w:t>
            </w:r>
          </w:p>
          <w:p w14:paraId="39A70881" w14:textId="0A97F82C" w:rsidR="001C1BDF" w:rsidRPr="001C1BDF" w:rsidRDefault="001C1BDF" w:rsidP="001C1BD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C1BDF">
              <w:rPr>
                <w:rFonts w:eastAsia="Times New Roman"/>
                <w:color w:val="000000"/>
              </w:rPr>
              <w:t>Podporován bude nákup budov, zařízení a vybavení, výstavba</w:t>
            </w:r>
            <w:r>
              <w:rPr>
                <w:rFonts w:eastAsia="Times New Roman"/>
                <w:color w:val="000000"/>
              </w:rPr>
              <w:t xml:space="preserve"> budov a stavební úpravy, které </w:t>
            </w:r>
            <w:r w:rsidRPr="001C1BDF">
              <w:rPr>
                <w:rFonts w:eastAsia="Times New Roman"/>
                <w:color w:val="000000"/>
              </w:rPr>
              <w:t xml:space="preserve">vytvoří podmínky pro kvalitní poskytování ambulantních </w:t>
            </w:r>
            <w:r>
              <w:rPr>
                <w:rFonts w:eastAsia="Times New Roman"/>
                <w:color w:val="000000"/>
              </w:rPr>
              <w:t xml:space="preserve">a terénních sociálních služeb a </w:t>
            </w:r>
            <w:r w:rsidRPr="001C1BDF">
              <w:rPr>
                <w:rFonts w:eastAsia="Times New Roman"/>
                <w:color w:val="000000"/>
              </w:rPr>
              <w:t>pobytových služeb prevence. Vytvoření, obnova a zkvalitnění materiálně techn</w:t>
            </w:r>
            <w:r>
              <w:rPr>
                <w:rFonts w:eastAsia="Times New Roman"/>
                <w:color w:val="000000"/>
              </w:rPr>
              <w:t xml:space="preserve">ické základny </w:t>
            </w:r>
            <w:r w:rsidRPr="001C1BDF">
              <w:rPr>
                <w:rFonts w:eastAsia="Times New Roman"/>
                <w:color w:val="000000"/>
              </w:rPr>
              <w:t>těchto nových a stávajících sociálních služeb pro práci s cílo</w:t>
            </w:r>
            <w:r>
              <w:rPr>
                <w:rFonts w:eastAsia="Times New Roman"/>
                <w:color w:val="000000"/>
              </w:rPr>
              <w:t xml:space="preserve">vými skupinami. Sociální služby </w:t>
            </w:r>
            <w:r w:rsidRPr="001C1BDF">
              <w:rPr>
                <w:rFonts w:eastAsia="Times New Roman"/>
                <w:color w:val="000000"/>
              </w:rPr>
              <w:t>jsou definovány zákonem č. 108/2006 Sb., o sociálních službách.</w:t>
            </w:r>
          </w:p>
          <w:p w14:paraId="6F307485" w14:textId="2C206896" w:rsidR="00753D29" w:rsidRDefault="001C1BDF" w:rsidP="001C1BD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C1BDF">
              <w:rPr>
                <w:rFonts w:eastAsia="Times New Roman"/>
                <w:color w:val="000000"/>
              </w:rPr>
              <w:t>Projekty se zaměří na podporu infrastruktury pouze pro sociální služby dle zákona č.</w:t>
            </w:r>
            <w:r>
              <w:rPr>
                <w:rFonts w:eastAsia="Times New Roman"/>
                <w:color w:val="000000"/>
              </w:rPr>
              <w:t xml:space="preserve"> 108/2006 </w:t>
            </w:r>
            <w:r w:rsidRPr="001C1BDF">
              <w:rPr>
                <w:rFonts w:eastAsia="Times New Roman"/>
                <w:color w:val="000000"/>
              </w:rPr>
              <w:t>Sb., o sociálních službách, uvedené v p</w:t>
            </w:r>
            <w:r>
              <w:rPr>
                <w:rFonts w:eastAsia="Times New Roman"/>
                <w:color w:val="000000"/>
              </w:rPr>
              <w:t xml:space="preserve">říloze č. 7 Specifických </w:t>
            </w:r>
            <w:r w:rsidRPr="001C1BDF">
              <w:rPr>
                <w:rFonts w:eastAsia="Times New Roman"/>
                <w:color w:val="000000"/>
              </w:rPr>
              <w:t>pravidel.</w:t>
            </w:r>
          </w:p>
          <w:p w14:paraId="72591536" w14:textId="7A0939E2" w:rsidR="00A93A37" w:rsidRDefault="00A93A37" w:rsidP="001C1BD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Uznatelné přímé výdaje projektů jsou popsány v </w:t>
            </w:r>
            <w:r w:rsidR="00B952B8">
              <w:rPr>
                <w:rFonts w:eastAsia="Times New Roman"/>
                <w:color w:val="000000"/>
              </w:rPr>
              <w:t>kapitolách</w:t>
            </w:r>
            <w:r>
              <w:rPr>
                <w:rFonts w:eastAsia="Times New Roman"/>
                <w:color w:val="000000"/>
              </w:rPr>
              <w:t xml:space="preserve"> 4.2.1 </w:t>
            </w:r>
            <w:r w:rsidR="00B952B8">
              <w:rPr>
                <w:rFonts w:eastAsia="Times New Roman"/>
                <w:color w:val="000000"/>
              </w:rPr>
              <w:t xml:space="preserve">a 4.2.2 </w:t>
            </w:r>
            <w:r>
              <w:rPr>
                <w:rFonts w:eastAsia="Times New Roman"/>
                <w:color w:val="000000"/>
              </w:rPr>
              <w:t>Specifických pravidel.</w:t>
            </w:r>
          </w:p>
          <w:p w14:paraId="55AF5491" w14:textId="3CBB0EB8" w:rsidR="001C1BDF" w:rsidRPr="00BA701F" w:rsidRDefault="001C1BDF" w:rsidP="001C1BDF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4BE57295" w14:textId="77777777" w:rsidTr="00164EB5">
        <w:trPr>
          <w:trHeight w:val="450"/>
        </w:trPr>
        <w:tc>
          <w:tcPr>
            <w:tcW w:w="4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D54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692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30810EF7" w14:textId="77777777" w:rsidTr="00164EB5">
        <w:trPr>
          <w:trHeight w:val="450"/>
        </w:trPr>
        <w:tc>
          <w:tcPr>
            <w:tcW w:w="4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AC46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D3B8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3D88993F" w14:textId="77777777" w:rsidTr="00164EB5">
        <w:trPr>
          <w:trHeight w:val="450"/>
        </w:trPr>
        <w:tc>
          <w:tcPr>
            <w:tcW w:w="4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DA64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252A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2C3BDA9B" w14:textId="77777777" w:rsidTr="00164EB5">
        <w:trPr>
          <w:trHeight w:val="450"/>
        </w:trPr>
        <w:tc>
          <w:tcPr>
            <w:tcW w:w="4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C953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AEA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4BD102DA" w14:textId="77777777" w:rsidTr="00164EB5">
        <w:trPr>
          <w:trHeight w:val="3601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3D9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Území realizace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4038" w14:textId="77777777" w:rsidR="0041673B" w:rsidRDefault="004167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41673B">
              <w:rPr>
                <w:rStyle w:val="markedcontent"/>
                <w:rFonts w:asciiTheme="minorHAnsi" w:hAnsiTheme="minorHAnsi" w:cstheme="minorHAnsi"/>
              </w:rPr>
              <w:t xml:space="preserve">Místo realizace se musí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nacházet na území MAS </w:t>
            </w:r>
            <w:r w:rsidRPr="0041673B">
              <w:rPr>
                <w:rStyle w:val="markedcontent"/>
                <w:rFonts w:asciiTheme="minorHAnsi" w:hAnsiTheme="minorHAnsi" w:cstheme="minorHAnsi"/>
              </w:rPr>
              <w:t>vymezeném ve schválené strategii CLLD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– </w:t>
            </w:r>
            <w:hyperlink r:id="rId8" w:history="1">
              <w:r w:rsidRPr="0041673B">
                <w:rPr>
                  <w:rStyle w:val="Hypertextovodkaz"/>
                  <w:rFonts w:asciiTheme="minorHAnsi" w:hAnsiTheme="minorHAnsi" w:cstheme="minorHAnsi"/>
                </w:rPr>
                <w:t>Odkaz</w:t>
              </w:r>
            </w:hyperlink>
            <w:r>
              <w:rPr>
                <w:rStyle w:val="markedcontent"/>
                <w:rFonts w:asciiTheme="minorHAnsi" w:hAnsiTheme="minorHAnsi" w:cstheme="minorHAnsi"/>
              </w:rPr>
              <w:t>.</w:t>
            </w:r>
          </w:p>
          <w:p w14:paraId="22BF4F78" w14:textId="66396A91" w:rsidR="000C0454" w:rsidRPr="000C0454" w:rsidRDefault="000C0454" w:rsidP="000C045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0C0454">
              <w:rPr>
                <w:rStyle w:val="markedcontent"/>
                <w:rFonts w:asciiTheme="minorHAnsi" w:hAnsiTheme="minorHAnsi" w:cstheme="minorHAnsi"/>
              </w:rPr>
              <w:t>Místem realizace se rozumí místo / místa / sídlo žadatele / příjemce, kde prob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íhá / bude </w:t>
            </w:r>
            <w:r w:rsidRPr="000C0454">
              <w:rPr>
                <w:rStyle w:val="markedcontent"/>
                <w:rFonts w:asciiTheme="minorHAnsi" w:hAnsiTheme="minorHAnsi" w:cstheme="minorHAnsi"/>
              </w:rPr>
              <w:t>probíhat fyzická realizace projektu, kde vznikají / budou vznik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at výstupy projektu, kde jsou / </w:t>
            </w:r>
            <w:r w:rsidRPr="000C0454">
              <w:rPr>
                <w:rStyle w:val="markedcontent"/>
                <w:rFonts w:asciiTheme="minorHAnsi" w:hAnsiTheme="minorHAnsi" w:cstheme="minorHAnsi"/>
              </w:rPr>
              <w:t xml:space="preserve">budou realizovány aktivity ve prospěch cílových skupin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a kde jsou / budou vynaloženy / </w:t>
            </w:r>
            <w:r w:rsidRPr="000C0454">
              <w:rPr>
                <w:rStyle w:val="markedcontent"/>
                <w:rFonts w:asciiTheme="minorHAnsi" w:hAnsiTheme="minorHAnsi" w:cstheme="minorHAnsi"/>
              </w:rPr>
              <w:t>proinvestovány výdaje z poskytnuté dotace.</w:t>
            </w:r>
          </w:p>
          <w:p w14:paraId="7CF5D8D5" w14:textId="7E632286" w:rsidR="000C0454" w:rsidRPr="000C0454" w:rsidRDefault="000C0454" w:rsidP="000C045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0C0454">
              <w:rPr>
                <w:rStyle w:val="markedcontent"/>
                <w:rFonts w:asciiTheme="minorHAnsi" w:hAnsiTheme="minorHAnsi" w:cstheme="minorHAnsi"/>
              </w:rPr>
              <w:t>Žadatel jako místo r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ealizace uvede obec/obce, na </w:t>
            </w:r>
            <w:r w:rsidRPr="000C0454">
              <w:rPr>
                <w:rStyle w:val="markedcontent"/>
                <w:rFonts w:asciiTheme="minorHAnsi" w:hAnsiTheme="minorHAnsi" w:cstheme="minorHAnsi"/>
              </w:rPr>
              <w:t>jejíž/jeji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chž území budou vznikat výstupy </w:t>
            </w:r>
            <w:r w:rsidRPr="000C0454">
              <w:rPr>
                <w:rStyle w:val="markedcontent"/>
                <w:rFonts w:asciiTheme="minorHAnsi" w:hAnsiTheme="minorHAnsi" w:cstheme="minorHAnsi"/>
              </w:rPr>
              <w:t>projektu.</w:t>
            </w:r>
          </w:p>
          <w:p w14:paraId="09713349" w14:textId="5591B4F8" w:rsidR="000C0454" w:rsidRDefault="000C0454" w:rsidP="000C045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0C0454">
              <w:rPr>
                <w:rStyle w:val="markedcontent"/>
                <w:rFonts w:asciiTheme="minorHAnsi" w:hAnsiTheme="minorHAnsi" w:cstheme="minorHAnsi"/>
              </w:rPr>
              <w:t>Za místo realizace se nepovažuje území dopadu, území, kte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ré má benefity z realizace dané </w:t>
            </w:r>
            <w:r w:rsidRPr="000C0454">
              <w:rPr>
                <w:rStyle w:val="markedcontent"/>
                <w:rFonts w:asciiTheme="minorHAnsi" w:hAnsiTheme="minorHAnsi" w:cstheme="minorHAnsi"/>
              </w:rPr>
              <w:t>intervence v daném místě realizace, ani spádové území či působnost dané instituce apod.</w:t>
            </w:r>
          </w:p>
          <w:p w14:paraId="6A88933A" w14:textId="0ECA7EDA" w:rsidR="0041673B" w:rsidRDefault="0041673B" w:rsidP="000C045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Územní působnost MAS: </w:t>
            </w:r>
            <w:hyperlink r:id="rId9" w:history="1">
              <w:r w:rsidRPr="0069367E">
                <w:rPr>
                  <w:rStyle w:val="Hypertextovodkaz"/>
                  <w:rFonts w:asciiTheme="minorHAnsi" w:hAnsiTheme="minorHAnsi" w:cstheme="minorHAnsi"/>
                </w:rPr>
                <w:t>https://www.kyjovske-slovacko.com/cs/mapy-uzemi</w:t>
              </w:r>
            </w:hyperlink>
          </w:p>
          <w:p w14:paraId="1484F5A9" w14:textId="77777777" w:rsidR="0041673B" w:rsidRPr="0041673B" w:rsidRDefault="0041673B" w:rsidP="0041673B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53D29" w:rsidRPr="00BA701F" w14:paraId="6A9E5DD3" w14:textId="77777777" w:rsidTr="00164EB5">
        <w:trPr>
          <w:trHeight w:val="69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305A" w14:textId="77777777" w:rsidR="00753D29" w:rsidRPr="00B72089" w:rsidRDefault="00753D29" w:rsidP="00106376">
            <w:pPr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72089">
              <w:rPr>
                <w:rFonts w:eastAsia="Times New Roman"/>
                <w:b/>
                <w:bCs/>
                <w:color w:val="000000"/>
              </w:rPr>
              <w:t>Oprávnění žadatelé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C550" w14:textId="2BE11CFB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obce;</w:t>
            </w:r>
          </w:p>
          <w:p w14:paraId="08427B7E" w14:textId="77777777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kraje;</w:t>
            </w:r>
          </w:p>
          <w:p w14:paraId="7988364F" w14:textId="77777777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dobrovolné svazky obcí;</w:t>
            </w:r>
          </w:p>
          <w:p w14:paraId="68CC7375" w14:textId="4B34D31A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organizace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řizované nebo zakládané kraji / </w:t>
            </w: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obcemi / dobrovolnými svazky obcí;</w:t>
            </w:r>
          </w:p>
          <w:p w14:paraId="06764B37" w14:textId="77777777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organizační složky státu (OSS);</w:t>
            </w:r>
          </w:p>
          <w:p w14:paraId="6A1BF18C" w14:textId="3B2768B3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 xml:space="preserve">• příspěvkové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organizace organizačních složek </w:t>
            </w: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státu (PO OSS);</w:t>
            </w:r>
          </w:p>
          <w:p w14:paraId="4D0E65F9" w14:textId="77777777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církve;</w:t>
            </w:r>
          </w:p>
          <w:p w14:paraId="3C6AD155" w14:textId="77777777" w:rsidR="00B72089" w:rsidRPr="00B72089" w:rsidRDefault="00B72089" w:rsidP="00B72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církevní organizace;</w:t>
            </w:r>
          </w:p>
          <w:p w14:paraId="7C26D5C4" w14:textId="77777777" w:rsidR="00753D29" w:rsidRDefault="00B72089" w:rsidP="00B72089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72089">
              <w:rPr>
                <w:rFonts w:asciiTheme="minorHAnsi" w:hAnsiTheme="minorHAnsi" w:cstheme="minorHAnsi"/>
                <w:sz w:val="22"/>
                <w:szCs w:val="22"/>
              </w:rPr>
              <w:t>• nestátní neziskové organizace (NNO).</w:t>
            </w:r>
          </w:p>
          <w:p w14:paraId="30855445" w14:textId="6785879C" w:rsidR="00171648" w:rsidRPr="00171648" w:rsidRDefault="00171648" w:rsidP="00171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Nestátní neziskové organizace, církve a církevní organizace musí vykonávat po celou dobu</w:t>
            </w:r>
            <w:r w:rsidR="007236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realizace a udržitelnosti činnost alespoň v jedné z těchto oblastí:</w:t>
            </w:r>
          </w:p>
          <w:p w14:paraId="05FE98AA" w14:textId="61BD02AB" w:rsidR="00171648" w:rsidRPr="00171648" w:rsidRDefault="00171648" w:rsidP="00171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 xml:space="preserve">• podpora nebo ochrana </w:t>
            </w:r>
            <w:r w:rsidR="007236AE">
              <w:rPr>
                <w:rFonts w:asciiTheme="minorHAnsi" w:hAnsiTheme="minorHAnsi" w:cstheme="minorHAnsi"/>
                <w:sz w:val="22"/>
                <w:szCs w:val="22"/>
              </w:rPr>
              <w:t xml:space="preserve">osob se zdravotním postižením a </w:t>
            </w: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znevýhodněných osob;</w:t>
            </w:r>
          </w:p>
          <w:p w14:paraId="133361B7" w14:textId="77777777" w:rsidR="00171648" w:rsidRPr="00171648" w:rsidRDefault="00171648" w:rsidP="00171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• sociální služby;</w:t>
            </w:r>
          </w:p>
          <w:p w14:paraId="3538668C" w14:textId="77777777" w:rsidR="00171648" w:rsidRPr="00171648" w:rsidRDefault="00171648" w:rsidP="00171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• aktivity sociálního začleňování.</w:t>
            </w:r>
          </w:p>
          <w:p w14:paraId="28FD8E57" w14:textId="77777777" w:rsidR="00171648" w:rsidRDefault="00171648" w:rsidP="00171648">
            <w:pPr>
              <w:pStyle w:val="Defaul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Účelem hlavní činnosti není vytváření zisku.</w:t>
            </w:r>
          </w:p>
          <w:p w14:paraId="0FD49D2C" w14:textId="1FF4A130" w:rsidR="00171648" w:rsidRPr="00592EB2" w:rsidRDefault="00171648" w:rsidP="00723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164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Žadatel či osoby ovládající právnickou osobu žadatele nesmí být evidováni na sankčním</w:t>
            </w:r>
            <w:r w:rsidR="007236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1648">
              <w:rPr>
                <w:rFonts w:asciiTheme="minorHAnsi" w:hAnsiTheme="minorHAnsi" w:cstheme="minorHAnsi"/>
                <w:sz w:val="22"/>
                <w:szCs w:val="22"/>
              </w:rPr>
              <w:t>seznamu/rejstříku EU v kategorii finančních sankcí.</w:t>
            </w:r>
          </w:p>
        </w:tc>
      </w:tr>
      <w:tr w:rsidR="00753D29" w:rsidRPr="00BA701F" w14:paraId="73DE90AA" w14:textId="77777777" w:rsidTr="00164EB5">
        <w:trPr>
          <w:trHeight w:val="696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2545F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lastRenderedPageBreak/>
              <w:t>Cílová skupina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0851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Obyvatelé a subjekty působící na území působnosti MAS</w:t>
            </w:r>
          </w:p>
          <w:p w14:paraId="47111B24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se schválenou strategií CLLD a návštěvníci území</w:t>
            </w:r>
          </w:p>
          <w:p w14:paraId="764B0D77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působnosti MAS se schválenou strategií CLLD:</w:t>
            </w:r>
          </w:p>
          <w:p w14:paraId="385082D2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sociálně vyloučené či ohrožené sociálním</w:t>
            </w:r>
          </w:p>
          <w:p w14:paraId="03B77E0C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vyloučením;</w:t>
            </w:r>
          </w:p>
          <w:p w14:paraId="316B37F9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 postižením;</w:t>
            </w:r>
          </w:p>
          <w:p w14:paraId="794F2C56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 chronickým a duševním onemocněním;</w:t>
            </w:r>
          </w:p>
          <w:p w14:paraId="6D64DA1F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se specifickými potřebami vyplývajícími</w:t>
            </w:r>
          </w:p>
          <w:p w14:paraId="5110D344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 xml:space="preserve">z jejich zdravotního stavu, </w:t>
            </w:r>
            <w:proofErr w:type="gramStart"/>
            <w:r w:rsidRPr="00171648">
              <w:rPr>
                <w:rFonts w:eastAsia="Times New Roman"/>
                <w:color w:val="000000"/>
              </w:rPr>
              <w:t>které</w:t>
            </w:r>
            <w:proofErr w:type="gramEnd"/>
            <w:r w:rsidRPr="00171648">
              <w:rPr>
                <w:rFonts w:eastAsia="Times New Roman"/>
                <w:color w:val="000000"/>
              </w:rPr>
              <w:t xml:space="preserve"> potřebují</w:t>
            </w:r>
          </w:p>
          <w:p w14:paraId="0D85C939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vysokou míru podpory, a jejich osoby blízké;</w:t>
            </w:r>
          </w:p>
          <w:p w14:paraId="60854A4D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rodiny s nezaopatřenými dětmi v nepříznivé</w:t>
            </w:r>
          </w:p>
          <w:p w14:paraId="74804775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sociální situaci;</w:t>
            </w:r>
          </w:p>
          <w:p w14:paraId="78424B63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mladé dospělé osoby opouštějící ústavní nebo</w:t>
            </w:r>
          </w:p>
          <w:p w14:paraId="225306C8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náhradní rodinnou péči;</w:t>
            </w:r>
          </w:p>
          <w:p w14:paraId="6637FD32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 xml:space="preserve">• oběti domácího a </w:t>
            </w:r>
            <w:proofErr w:type="spellStart"/>
            <w:r w:rsidRPr="00171648">
              <w:rPr>
                <w:rFonts w:eastAsia="Times New Roman"/>
                <w:color w:val="000000"/>
              </w:rPr>
              <w:t>genderově</w:t>
            </w:r>
            <w:proofErr w:type="spellEnd"/>
            <w:r w:rsidRPr="00171648">
              <w:rPr>
                <w:rFonts w:eastAsia="Times New Roman"/>
                <w:color w:val="000000"/>
              </w:rPr>
              <w:t xml:space="preserve"> podmíněného násilí</w:t>
            </w:r>
          </w:p>
          <w:p w14:paraId="0CF95F81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a osoby tímto násilím ohrožené;</w:t>
            </w:r>
          </w:p>
          <w:p w14:paraId="55D18066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osoby v bytové nouzi;</w:t>
            </w:r>
          </w:p>
          <w:p w14:paraId="6137AD28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senioři;</w:t>
            </w:r>
          </w:p>
          <w:p w14:paraId="2FFACB26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ohrožené děti;</w:t>
            </w:r>
          </w:p>
          <w:p w14:paraId="43502EB2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uprchlíci, migranti;</w:t>
            </w:r>
          </w:p>
          <w:p w14:paraId="761C3DD9" w14:textId="77777777" w:rsidR="00171648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národnostní skupiny (zejména Romové);</w:t>
            </w:r>
          </w:p>
          <w:p w14:paraId="21FCA1F9" w14:textId="347DB035" w:rsidR="00753D29" w:rsidRPr="00171648" w:rsidRDefault="00171648" w:rsidP="0017164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71648">
              <w:rPr>
                <w:rFonts w:eastAsia="Times New Roman"/>
                <w:color w:val="000000"/>
              </w:rPr>
              <w:t>• bezdomovci.</w:t>
            </w:r>
          </w:p>
        </w:tc>
      </w:tr>
      <w:tr w:rsidR="00753D29" w:rsidRPr="00BA701F" w14:paraId="1BD742DA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75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1890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3E5DB89F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C664F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Věcné zaměření</w:t>
            </w:r>
          </w:p>
        </w:tc>
      </w:tr>
      <w:tr w:rsidR="00753D29" w:rsidRPr="00BA701F" w14:paraId="3D23ED36" w14:textId="77777777" w:rsidTr="00164EB5">
        <w:trPr>
          <w:trHeight w:val="1941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7006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Indikátory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BDD" w14:textId="2F56DC0F" w:rsidR="00753D29" w:rsidRDefault="00AC1DC6" w:rsidP="00D7257E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Informace k indikátorům jsou obsaženy v Obecných a Specifických pravidlech výzvy ŘO IROP. Konkrétní popis jednotliv</w:t>
            </w:r>
            <w:r w:rsidR="00171648">
              <w:rPr>
                <w:rFonts w:eastAsia="Times New Roman"/>
                <w:color w:val="000000"/>
              </w:rPr>
              <w:t>ých indikátorů je přílohou č. P1</w:t>
            </w:r>
            <w:r>
              <w:rPr>
                <w:rFonts w:eastAsia="Times New Roman"/>
                <w:color w:val="000000"/>
              </w:rPr>
              <w:t xml:space="preserve"> Specifických pravidel pro žadatele a příjemce. </w:t>
            </w:r>
          </w:p>
          <w:p w14:paraId="4A0F0447" w14:textId="77777777" w:rsidR="00AC1DC6" w:rsidRPr="00BA701F" w:rsidRDefault="009D7659" w:rsidP="00D7257E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Žadatel je povinen vybrat relevantní indikátory pro realizovanou aktivitu.</w:t>
            </w:r>
          </w:p>
        </w:tc>
      </w:tr>
      <w:tr w:rsidR="00753D29" w:rsidRPr="00BA701F" w14:paraId="1A9707CE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D28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785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0BA03481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1F30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Náležitosti žádosti o podporu</w:t>
            </w:r>
          </w:p>
        </w:tc>
      </w:tr>
      <w:tr w:rsidR="0043799C" w:rsidRPr="00BA701F" w14:paraId="376F753C" w14:textId="77777777" w:rsidTr="00164EB5">
        <w:trPr>
          <w:trHeight w:val="288"/>
        </w:trPr>
        <w:tc>
          <w:tcPr>
            <w:tcW w:w="4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7F5" w14:textId="228BB5F6" w:rsidR="0043799C" w:rsidRPr="009D49D2" w:rsidRDefault="0043799C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100C4">
              <w:rPr>
                <w:rFonts w:eastAsia="Times New Roman"/>
                <w:b/>
                <w:bCs/>
                <w:color w:val="000000"/>
              </w:rPr>
              <w:t>Povinné přílohy žádosti o dotaci (projektového záměru)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33B" w14:textId="5905F61C" w:rsidR="0043799C" w:rsidRPr="009D7659" w:rsidRDefault="0043799C" w:rsidP="00C71BE8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1.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Plná moc - </w:t>
            </w:r>
            <w:r>
              <w:rPr>
                <w:rStyle w:val="markedcontent"/>
                <w:rFonts w:asciiTheme="minorHAnsi" w:hAnsiTheme="minorHAnsi" w:cstheme="minorHAnsi"/>
              </w:rPr>
              <w:t>d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okládá se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pouze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 v případě přenesení pravomocí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statutárního zástupce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žadatele na jinou</w:t>
            </w:r>
            <w:r w:rsidRPr="009D7659">
              <w:rPr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osobu. Plná moc/pověření musí obsahovat, kdo je kým pověřen, co je předmětem pověření,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dobu účinnosti a datum zánik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u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pověření. V případě obcí/krajů může být plná moc nahrazena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usnesením zastupitelstva/rady. </w:t>
            </w:r>
          </w:p>
        </w:tc>
      </w:tr>
      <w:tr w:rsidR="0043799C" w:rsidRPr="00BA701F" w14:paraId="6915280B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0BA" w14:textId="77777777" w:rsidR="0043799C" w:rsidRPr="009D49D2" w:rsidRDefault="0043799C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A8EB" w14:textId="5AB9CED6" w:rsidR="0043799C" w:rsidRPr="00BA701F" w:rsidRDefault="0043799C" w:rsidP="00AD6C85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Čestné prohlášení žadatele k schopnosti doložit přílohy vyžadované ŘO IROP (viz vzor) v období mezi Vydáním souladu projektového záměru se SCLLD 21-27 a podáním projektu v systému MS2021+.</w:t>
            </w:r>
          </w:p>
        </w:tc>
      </w:tr>
      <w:tr w:rsidR="0043799C" w:rsidRPr="00BA701F" w14:paraId="3BD0F1E1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24AE" w14:textId="77777777" w:rsidR="0043799C" w:rsidRPr="009D49D2" w:rsidRDefault="0043799C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CA0" w14:textId="5F143F33" w:rsidR="0043799C" w:rsidRPr="00F75564" w:rsidRDefault="0043799C" w:rsidP="00106376">
            <w:pPr>
              <w:spacing w:after="0"/>
              <w:jc w:val="left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7A2B23">
              <w:rPr>
                <w:rFonts w:eastAsia="Times New Roman"/>
                <w:color w:val="000000"/>
              </w:rPr>
              <w:t>. Položkový rozpočet projektu</w:t>
            </w:r>
            <w:r>
              <w:rPr>
                <w:rFonts w:eastAsia="Times New Roman"/>
                <w:color w:val="000000"/>
              </w:rPr>
              <w:t xml:space="preserve"> (součástí je také tabulka k ověření limitů)</w:t>
            </w:r>
          </w:p>
        </w:tc>
      </w:tr>
      <w:tr w:rsidR="00244C75" w:rsidRPr="00BA701F" w14:paraId="7148588D" w14:textId="77777777" w:rsidTr="00164EB5">
        <w:trPr>
          <w:trHeight w:val="288"/>
        </w:trPr>
        <w:tc>
          <w:tcPr>
            <w:tcW w:w="4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427" w14:textId="5BA134F6" w:rsidR="00244C75" w:rsidRPr="009D49D2" w:rsidRDefault="00244C75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4C6A1E">
              <w:rPr>
                <w:rFonts w:eastAsia="Times New Roman"/>
                <w:b/>
                <w:bCs/>
                <w:color w:val="000000"/>
              </w:rPr>
              <w:t xml:space="preserve">Nepovinné přílohy žádosti o dotaci (projektového záměru) – </w:t>
            </w:r>
            <w:r w:rsidRPr="004C6A1E">
              <w:rPr>
                <w:rFonts w:eastAsia="Times New Roman"/>
                <w:bCs/>
                <w:color w:val="000000"/>
              </w:rPr>
              <w:t xml:space="preserve">přílohy pro </w:t>
            </w:r>
            <w:r w:rsidRPr="004C6A1E">
              <w:rPr>
                <w:rFonts w:eastAsia="Times New Roman"/>
                <w:color w:val="000000"/>
              </w:rPr>
              <w:t xml:space="preserve">vyhodnocení Kritérií </w:t>
            </w:r>
            <w:r w:rsidRPr="004C6A1E">
              <w:t>pro posouzení věcné fáze procesu souladu projektového záměru se SCLLD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3EF7" w14:textId="23FAD776" w:rsidR="00244C75" w:rsidRPr="004147E4" w:rsidRDefault="004147E4" w:rsidP="0010637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1. </w:t>
            </w:r>
            <w:r w:rsidR="00244C75" w:rsidRPr="004147E4">
              <w:rPr>
                <w:rStyle w:val="markedcontent"/>
                <w:rFonts w:asciiTheme="minorHAnsi" w:hAnsiTheme="minorHAnsi" w:cstheme="minorHAnsi"/>
              </w:rPr>
              <w:t>Doklad prokazující povolení k realizaci stavby dle stavebního zákona</w:t>
            </w:r>
          </w:p>
        </w:tc>
      </w:tr>
      <w:tr w:rsidR="00244C75" w:rsidRPr="00BA701F" w14:paraId="1A81E55E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1C0" w14:textId="7CA8325E" w:rsidR="00244C75" w:rsidRPr="00BA701F" w:rsidRDefault="00244C75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CD1" w14:textId="7D74AEE6" w:rsidR="00244C75" w:rsidRPr="004147E4" w:rsidRDefault="004147E4" w:rsidP="0010637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2. </w:t>
            </w:r>
            <w:r w:rsidR="00244C75" w:rsidRPr="004147E4">
              <w:rPr>
                <w:rStyle w:val="markedcontent"/>
                <w:rFonts w:asciiTheme="minorHAnsi" w:hAnsiTheme="minorHAnsi" w:cstheme="minorHAnsi"/>
              </w:rPr>
              <w:t>Čestné prohlášení žadatele, že k realizaci projektu není třeba doklad prokazující povolení k realizaci stavby dle stavebního zákona</w:t>
            </w:r>
          </w:p>
        </w:tc>
      </w:tr>
      <w:tr w:rsidR="004E6444" w:rsidRPr="00BA701F" w14:paraId="6A83FEF4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8FFCC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F4DF" w14:textId="7A916405" w:rsidR="004E6444" w:rsidRPr="004147E4" w:rsidRDefault="004C6A1E" w:rsidP="00F15721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3. </w:t>
            </w:r>
            <w:r w:rsidR="00F15721">
              <w:rPr>
                <w:rFonts w:asciiTheme="minorHAnsi" w:eastAsia="Times New Roman" w:hAnsiTheme="minorHAnsi" w:cstheme="minorHAnsi"/>
              </w:rPr>
              <w:t>O</w:t>
            </w:r>
            <w:r w:rsidR="00F15721" w:rsidRPr="006861D1">
              <w:rPr>
                <w:rFonts w:asciiTheme="minorHAnsi" w:eastAsia="Times New Roman" w:hAnsiTheme="minorHAnsi" w:cstheme="minorHAnsi"/>
              </w:rPr>
              <w:t>dborný nebo kontrolní dokument identifikující nevyhovující stav nebo omezení služby</w:t>
            </w:r>
            <w:r w:rsidR="00F15721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4E6444" w:rsidRPr="00BA701F" w14:paraId="45D65775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8BEDD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1786" w14:textId="2F36B6FF" w:rsidR="004E6444" w:rsidRPr="004147E4" w:rsidRDefault="00F15721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4. </w:t>
            </w:r>
            <w:r w:rsidRPr="004147E4">
              <w:rPr>
                <w:rStyle w:val="markedcontent"/>
                <w:rFonts w:asciiTheme="minorHAnsi" w:hAnsiTheme="minorHAnsi" w:cstheme="minorHAnsi"/>
              </w:rPr>
              <w:t>Dohoda o spolupráci</w:t>
            </w:r>
          </w:p>
        </w:tc>
      </w:tr>
      <w:tr w:rsidR="004E6444" w:rsidRPr="00BA701F" w14:paraId="56DDD8E9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5ECEF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66F6" w14:textId="19CDC467" w:rsidR="004E6444" w:rsidRPr="004147E4" w:rsidRDefault="004E6444" w:rsidP="004C6A1E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4E6444" w:rsidRPr="00BA701F" w14:paraId="1135B6BF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75211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0D79" w14:textId="05F45BC5" w:rsidR="004E6444" w:rsidRPr="004147E4" w:rsidRDefault="004E6444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4E6444" w:rsidRPr="00BA701F" w14:paraId="0B5D48DC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0846B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E35" w14:textId="106A5C74" w:rsidR="004E6444" w:rsidRPr="004147E4" w:rsidRDefault="004E6444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4E6444" w:rsidRPr="00BA701F" w14:paraId="7B0EF42E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0DCD7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16E" w14:textId="5B92AE70" w:rsidR="004E6444" w:rsidRPr="004147E4" w:rsidRDefault="004E6444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4E6444" w:rsidRPr="00BA701F" w14:paraId="66CD4063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A8625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F9E" w14:textId="10D2B781" w:rsidR="004E6444" w:rsidRPr="004147E4" w:rsidRDefault="004E6444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4E6444" w:rsidRPr="00BA701F" w14:paraId="111E90D7" w14:textId="77777777" w:rsidTr="00164EB5">
        <w:trPr>
          <w:trHeight w:val="288"/>
        </w:trPr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F472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BB7E" w14:textId="603051D1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2DEC72EB" w14:textId="77777777" w:rsidTr="00164EB5">
        <w:trPr>
          <w:trHeight w:val="300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4732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0C2" w14:textId="77777777" w:rsidR="004E6444" w:rsidRPr="00BA701F" w:rsidRDefault="004E6444" w:rsidP="004E644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444" w:rsidRPr="00BA701F" w14:paraId="46574C89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15CF0" w14:textId="77777777" w:rsidR="004E6444" w:rsidRPr="00BA701F" w:rsidRDefault="004E6444" w:rsidP="004E6444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Způsobilé výdaje</w:t>
            </w:r>
          </w:p>
        </w:tc>
      </w:tr>
      <w:tr w:rsidR="004E6444" w:rsidRPr="00BA701F" w14:paraId="5962B21E" w14:textId="77777777" w:rsidTr="00164EB5">
        <w:trPr>
          <w:trHeight w:val="28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00C72" w14:textId="77777777" w:rsidR="004E6444" w:rsidRPr="00BA701F" w:rsidRDefault="004E6444" w:rsidP="004E644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Věcná způsobilost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1BD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Způsobilost výdajů se řídí Obecnými a Specifickými pravidly výzvy ŘO IROP.</w:t>
            </w:r>
          </w:p>
          <w:p w14:paraId="2908BEB6" w14:textId="19974B5E" w:rsidR="004E6444" w:rsidRPr="00AC1DC6" w:rsidRDefault="004E6444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Způsobilé výdaje se dělí </w:t>
            </w:r>
            <w:proofErr w:type="gramStart"/>
            <w:r w:rsidRPr="002E34AE">
              <w:rPr>
                <w:rStyle w:val="markedcontent"/>
                <w:rFonts w:asciiTheme="minorHAnsi" w:hAnsiTheme="minorHAnsi" w:cstheme="minorHAnsi"/>
              </w:rPr>
              <w:t>na</w:t>
            </w:r>
            <w:proofErr w:type="gramEnd"/>
            <w:r w:rsidRPr="002E34AE">
              <w:rPr>
                <w:rStyle w:val="markedcontent"/>
                <w:rFonts w:asciiTheme="minorHAnsi" w:hAnsiTheme="minorHAnsi" w:cstheme="minorHAnsi"/>
              </w:rPr>
              <w:t>:</w:t>
            </w:r>
            <w:r w:rsidRPr="002E34AE">
              <w:rPr>
                <w:rFonts w:asciiTheme="minorHAnsi" w:hAnsiTheme="minorHAnsi" w:cstheme="minorHAnsi"/>
              </w:rPr>
              <w:br/>
            </w:r>
            <w:r w:rsidRPr="002E34AE">
              <w:rPr>
                <w:rStyle w:val="markedcontent"/>
                <w:rFonts w:asciiTheme="minorHAnsi" w:hAnsiTheme="minorHAnsi" w:cstheme="minorHAnsi"/>
              </w:rPr>
              <w:sym w:font="Symbol" w:char="F0B7"/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přímé výdaje, které musí být doloženy daňovými,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účetními či dalšími doklady dle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kapitoly </w:t>
            </w:r>
            <w:r w:rsidR="00407375">
              <w:rPr>
                <w:rStyle w:val="markedcontent"/>
                <w:rFonts w:asciiTheme="minorHAnsi" w:hAnsiTheme="minorHAnsi" w:cstheme="minorHAnsi"/>
              </w:rPr>
              <w:t>4.2.5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Specifických pravidel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pro žadatele a příjemce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a na jejichž základě dojde k</w:t>
            </w:r>
            <w:r>
              <w:rPr>
                <w:rStyle w:val="markedcontent"/>
                <w:rFonts w:asciiTheme="minorHAnsi" w:hAnsiTheme="minorHAnsi" w:cstheme="minorHAnsi"/>
              </w:rPr>
              <w:t> 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výpočtu</w:t>
            </w:r>
            <w:r w:rsidRPr="002E34AE">
              <w:rPr>
                <w:rStyle w:val="markedcontent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paušálních nákladů,</w:t>
            </w:r>
            <w:r w:rsidRPr="002E34AE">
              <w:rPr>
                <w:rStyle w:val="markedcontent"/>
              </w:rPr>
              <w:br/>
            </w:r>
            <w:r w:rsidRPr="002E34AE">
              <w:rPr>
                <w:rStyle w:val="markedcontent"/>
                <w:rFonts w:asciiTheme="minorHAnsi" w:hAnsiTheme="minorHAnsi" w:cstheme="minorHAnsi"/>
              </w:rPr>
              <w:sym w:font="Symbol" w:char="F0B7"/>
            </w:r>
            <w:r w:rsidRPr="00AC1DC6">
              <w:rPr>
                <w:rStyle w:val="markedcontent"/>
                <w:rFonts w:asciiTheme="minorHAnsi" w:hAnsiTheme="minorHAnsi" w:cstheme="minorHAnsi"/>
              </w:rPr>
              <w:t xml:space="preserve"> nepřímé, paušální náklady, jejichž výše je stanovena za pomoci paušální sazby</w:t>
            </w:r>
            <w:r w:rsidRPr="002E34AE">
              <w:rPr>
                <w:rStyle w:val="markedcontent"/>
              </w:rPr>
              <w:t xml:space="preserve"> </w:t>
            </w:r>
            <w:r w:rsidRPr="00AC1DC6">
              <w:rPr>
                <w:rStyle w:val="markedcontent"/>
                <w:rFonts w:asciiTheme="minorHAnsi" w:hAnsiTheme="minorHAnsi" w:cstheme="minorHAnsi"/>
              </w:rPr>
              <w:t>a které není potřeba prokazovat daňovými, účetními či dalšími doklady. Při financování projektu bude využita paušální sazba ve výši 7 % na paušální náklady.</w:t>
            </w:r>
          </w:p>
          <w:p w14:paraId="4F8917CB" w14:textId="77777777" w:rsidR="004E6444" w:rsidRPr="002E34AE" w:rsidRDefault="004E6444" w:rsidP="004E6444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2E34AE">
              <w:rPr>
                <w:rStyle w:val="markedcontent"/>
                <w:rFonts w:asciiTheme="minorHAnsi" w:hAnsiTheme="minorHAnsi" w:cstheme="minorHAnsi"/>
              </w:rPr>
              <w:t>Náklady, na</w:t>
            </w:r>
            <w:r w:rsidRPr="002E34AE">
              <w:rPr>
                <w:rStyle w:val="markedcontent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jejichž financování je použita paušální sazba, nelze zahrnout mezi přímé výdaje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projektu.</w:t>
            </w:r>
          </w:p>
        </w:tc>
      </w:tr>
      <w:tr w:rsidR="004E6444" w:rsidRPr="00BA701F" w14:paraId="09F2DDFB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0DE7" w14:textId="77777777" w:rsidR="004E6444" w:rsidRPr="00BA701F" w:rsidRDefault="004E6444" w:rsidP="004E644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Časová způsobilost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B10" w14:textId="235FC512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Je dána obdobím od data zahájení realizace projektu po datum ukončení realizace projektu. </w:t>
            </w:r>
            <w:r w:rsidRPr="00055872">
              <w:rPr>
                <w:rFonts w:eastAsia="Times New Roman"/>
                <w:color w:val="000000"/>
              </w:rPr>
              <w:t>Datem zahájení realizace projektu se rozumí datum prvního právního úkonu týkajícího se aktivit projektu, na které jsou vynaloženy způsobilé výdaje.</w:t>
            </w:r>
            <w:r w:rsidR="009D49D2">
              <w:rPr>
                <w:rFonts w:eastAsia="Times New Roman"/>
                <w:color w:val="000000"/>
              </w:rPr>
              <w:t xml:space="preserve"> Výdaje vzniklé před datem 1. 1. 2021 nejsou způsobilé. </w:t>
            </w:r>
            <w:r w:rsidR="009D49D2" w:rsidRPr="009D49D2">
              <w:rPr>
                <w:rFonts w:eastAsia="Times New Roman"/>
                <w:color w:val="000000"/>
              </w:rPr>
              <w:t>Datem ukončení realizace projektu se rozumí termín, kdy dojde k naplnění účelu projektu.</w:t>
            </w:r>
          </w:p>
        </w:tc>
      </w:tr>
      <w:tr w:rsidR="004E6444" w:rsidRPr="00BA701F" w14:paraId="69A0E4C2" w14:textId="77777777" w:rsidTr="00164EB5">
        <w:trPr>
          <w:trHeight w:val="1027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0C32B1" w14:textId="4FFBFB89" w:rsidR="004E6444" w:rsidRPr="00BA701F" w:rsidRDefault="004E6444" w:rsidP="004E644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Finanční limity Výzvy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A842" w14:textId="24D833DC" w:rsidR="004E6444" w:rsidRPr="003100C4" w:rsidRDefault="003100C4" w:rsidP="003100C4">
            <w:pPr>
              <w:spacing w:after="0"/>
              <w:jc w:val="left"/>
              <w:rPr>
                <w:rFonts w:eastAsia="Times New Roman"/>
                <w:b/>
                <w:color w:val="000000"/>
              </w:rPr>
            </w:pPr>
            <w:r w:rsidRPr="003100C4">
              <w:rPr>
                <w:rFonts w:eastAsia="Times New Roman"/>
                <w:color w:val="000000"/>
              </w:rPr>
              <w:t xml:space="preserve">Finanční </w:t>
            </w:r>
            <w:r>
              <w:rPr>
                <w:rFonts w:eastAsia="Times New Roman"/>
                <w:color w:val="000000"/>
              </w:rPr>
              <w:t>limity Výzvy se řídí Specifickými pravidly pro žadatele a příjemce. Pro kontrolu finančních limitů lze využít přílohu č. 4 Specifických pravidel s názvem: Podklady pro stanovení kategorií intervencí  kontrolu limitů.</w:t>
            </w:r>
          </w:p>
        </w:tc>
      </w:tr>
      <w:tr w:rsidR="004E6444" w:rsidRPr="00BA701F" w14:paraId="7FD43B09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F81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FFA" w14:textId="77777777" w:rsidR="004E6444" w:rsidRPr="00BA701F" w:rsidRDefault="004E6444" w:rsidP="004E644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444" w:rsidRPr="00BA701F" w14:paraId="1FA33F66" w14:textId="77777777" w:rsidTr="00164EB5">
        <w:trPr>
          <w:trHeight w:val="31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9B3CC" w14:textId="77777777" w:rsidR="004E6444" w:rsidRPr="00BA701F" w:rsidRDefault="004E6444" w:rsidP="004E6444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Další detaily výzvy</w:t>
            </w:r>
          </w:p>
        </w:tc>
      </w:tr>
      <w:tr w:rsidR="004E6444" w:rsidRPr="00BA701F" w14:paraId="6B5DC6D7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FEED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Způsob hodnocení projektů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E3" w14:textId="63156E09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 hodnocení projektů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5 viz odkaz níže. </w:t>
            </w:r>
          </w:p>
        </w:tc>
      </w:tr>
      <w:tr w:rsidR="004E6444" w:rsidRPr="00BA701F" w14:paraId="24AC2795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21E38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Kritéria pro hodnocení projektů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96F" w14:textId="028A8E0B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Kritéria pro hodnocení projektů jsou přílohou této výzvy. Kritéria jsou stanovena pro administrativní i věcnou fázi posouzení souladu. Tvorbu kritérií upravují podrobně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3 viz odkaz níže.</w:t>
            </w:r>
          </w:p>
          <w:p w14:paraId="716E0469" w14:textId="0EC9C878" w:rsidR="00BF26A4" w:rsidRPr="00BA701F" w:rsidRDefault="00BF26A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MAS si vyhrazuje právo vyžádat si  ke dni ukončení realizace projektu dokumenty prokazující naplnění preferenčních kritérií věcné fáze procesu souladu projektového záměru se SCLLD.</w:t>
            </w:r>
          </w:p>
        </w:tc>
      </w:tr>
      <w:tr w:rsidR="004E6444" w:rsidRPr="00BA701F" w14:paraId="58F0119C" w14:textId="77777777" w:rsidTr="00164EB5">
        <w:trPr>
          <w:trHeight w:val="2133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2F101C" w14:textId="3E3F791A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Lhůta platnosti </w:t>
            </w:r>
            <w:r w:rsidRPr="006B5A7B">
              <w:rPr>
                <w:rFonts w:eastAsia="Times New Roman"/>
                <w:b/>
                <w:bCs/>
                <w:color w:val="000000"/>
              </w:rPr>
              <w:t>Vyjádření MAS o souladu/nesouladu projektového záměru/náhradního projektového záměru se SCLLD 21-27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2FD1" w14:textId="77777777" w:rsidR="00946558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Lhůta platnosti </w:t>
            </w:r>
            <w:r w:rsidRPr="001949C6">
              <w:rPr>
                <w:rFonts w:eastAsia="Times New Roman"/>
                <w:color w:val="000000"/>
              </w:rPr>
              <w:t>Vyjádření MAS o souladu</w:t>
            </w:r>
            <w:r>
              <w:rPr>
                <w:rFonts w:eastAsia="Times New Roman"/>
                <w:color w:val="000000"/>
              </w:rPr>
              <w:t xml:space="preserve"> projektového záměru</w:t>
            </w:r>
            <w:r w:rsidRPr="001949C6">
              <w:rPr>
                <w:rFonts w:eastAsia="Times New Roman"/>
                <w:color w:val="000000"/>
              </w:rPr>
              <w:t xml:space="preserve"> se SCLLD 21-27 </w:t>
            </w:r>
            <w:r w:rsidRPr="000F6E92">
              <w:rPr>
                <w:rFonts w:eastAsia="Times New Roman"/>
                <w:color w:val="000000"/>
              </w:rPr>
              <w:t>je stanovena na</w:t>
            </w:r>
            <w:r>
              <w:rPr>
                <w:rFonts w:eastAsia="Times New Roman"/>
                <w:color w:val="000000"/>
              </w:rPr>
              <w:t xml:space="preserve"> 30. 10. 2026.</w:t>
            </w:r>
          </w:p>
          <w:p w14:paraId="008E45AA" w14:textId="77777777" w:rsidR="00946558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Konkrétní datum bude uvedeno na dokumentu </w:t>
            </w:r>
            <w:r w:rsidRPr="001949C6">
              <w:rPr>
                <w:rFonts w:eastAsia="Times New Roman"/>
                <w:color w:val="000000"/>
              </w:rPr>
              <w:t>Vyjádření MAS o</w:t>
            </w:r>
            <w:r>
              <w:rPr>
                <w:rFonts w:eastAsia="Times New Roman"/>
                <w:color w:val="000000"/>
              </w:rPr>
              <w:t xml:space="preserve"> souladu projektového </w:t>
            </w:r>
            <w:r w:rsidRPr="001949C6">
              <w:rPr>
                <w:rFonts w:eastAsia="Times New Roman"/>
                <w:color w:val="000000"/>
              </w:rPr>
              <w:t>záměru se SCLLD 21-27</w:t>
            </w:r>
            <w:r>
              <w:rPr>
                <w:rFonts w:eastAsia="Times New Roman"/>
                <w:color w:val="000000"/>
              </w:rPr>
              <w:t>.</w:t>
            </w:r>
          </w:p>
          <w:p w14:paraId="7889C8FA" w14:textId="6FF582F2" w:rsidR="004E6444" w:rsidRDefault="004E6444" w:rsidP="006B7EF3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7039FBC9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4B6918" w14:textId="6D41EE33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383C8B">
              <w:rPr>
                <w:rFonts w:eastAsia="Times New Roman"/>
                <w:b/>
                <w:bCs/>
                <w:color w:val="000000"/>
              </w:rPr>
              <w:t>Postup vybraných projektů k podpoře po vydání souladu projektového záměru se SCLLD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D733" w14:textId="53FAAC79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Postupy vybraných projektů k podpoře po vydání souladu projektového záměru se SCLLD upravují Interní postupy  Kyjovského Slovácka v </w:t>
            </w:r>
            <w:proofErr w:type="gramStart"/>
            <w:r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 kapitole č. 7.</w:t>
            </w:r>
          </w:p>
          <w:p w14:paraId="2F0BBC0D" w14:textId="2C904B80" w:rsidR="004E6444" w:rsidRDefault="004E6444" w:rsidP="00D47BD0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t xml:space="preserve">Po kompletním zadání projektu do systému MS2021+, včetně všech příloh, požádá žadatel kancelář MAS o kontrolu shodnosti projektového záměru a projektu zadaného v MS2021+. O kontrolu je nutné požádat nejpozději 15 pracovních dní před vypršením platnosti Vyjádření MAS o souladu projektového záměru se SCLLD 21-27, pokud je tato lhůta </w:t>
            </w:r>
            <w:r>
              <w:lastRenderedPageBreak/>
              <w:t>stanovena. Na základě individuální žádosti je možné stanovenou lhůtu posunout.</w:t>
            </w:r>
          </w:p>
        </w:tc>
      </w:tr>
      <w:tr w:rsidR="004E6444" w:rsidRPr="00BA701F" w14:paraId="0A8920B2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BDA85D" w14:textId="48A77B1D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5615B">
              <w:rPr>
                <w:rFonts w:eastAsia="Times New Roman"/>
                <w:b/>
                <w:bCs/>
                <w:color w:val="000000"/>
              </w:rPr>
              <w:lastRenderedPageBreak/>
              <w:t xml:space="preserve">Povinnosti hlášení změn projektů na </w:t>
            </w:r>
            <w:proofErr w:type="gramStart"/>
            <w:r w:rsidRPr="0055615B">
              <w:rPr>
                <w:rFonts w:eastAsia="Times New Roman"/>
                <w:b/>
                <w:bCs/>
                <w:color w:val="000000"/>
              </w:rPr>
              <w:t>MAS</w:t>
            </w:r>
            <w:proofErr w:type="gramEnd"/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ECD2" w14:textId="3F805EBC" w:rsidR="004E6444" w:rsidRPr="0055615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55615B">
              <w:rPr>
                <w:rFonts w:eastAsia="Times New Roman"/>
                <w:color w:val="000000"/>
              </w:rPr>
              <w:t xml:space="preserve">ovinnosti hlášení změn projektů na </w:t>
            </w:r>
            <w:proofErr w:type="gramStart"/>
            <w:r w:rsidRPr="0055615B">
              <w:rPr>
                <w:rFonts w:eastAsia="Times New Roman"/>
                <w:color w:val="000000"/>
              </w:rPr>
              <w:t>MAS</w:t>
            </w:r>
            <w:proofErr w:type="gramEnd"/>
            <w:r w:rsidR="00E82167">
              <w:rPr>
                <w:rFonts w:eastAsia="Times New Roman"/>
                <w:color w:val="000000"/>
              </w:rPr>
              <w:t xml:space="preserve"> upravují Interní postupy</w:t>
            </w:r>
            <w:r>
              <w:rPr>
                <w:rFonts w:eastAsia="Times New Roman"/>
                <w:color w:val="000000"/>
              </w:rPr>
              <w:t xml:space="preserve"> Kyjovského Slovácka v 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 IROP 2021 – 2027 v kapitole</w:t>
            </w:r>
            <w:r w:rsidRPr="0055615B">
              <w:rPr>
                <w:rFonts w:eastAsia="Times New Roman"/>
                <w:color w:val="000000"/>
              </w:rPr>
              <w:t xml:space="preserve"> č. 8</w:t>
            </w:r>
          </w:p>
          <w:p w14:paraId="64F0F237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7356E18B" w14:textId="77777777" w:rsidTr="00164EB5">
        <w:trPr>
          <w:trHeight w:val="1033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4748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Další specifika výzvy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3A2" w14:textId="0C311A4F" w:rsidR="004E6444" w:rsidRPr="006005AD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Specifika výzvy MAS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viz odkaz níže. </w:t>
            </w:r>
          </w:p>
          <w:p w14:paraId="283DAC91" w14:textId="790ED9C5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Jedná se především o postupy:</w:t>
            </w:r>
          </w:p>
          <w:p w14:paraId="49C55479" w14:textId="39A0174D" w:rsidR="004E6444" w:rsidRPr="00221188" w:rsidRDefault="004E6444" w:rsidP="004E6444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vymezující možnosti změny výzvy – kapitola č. 2</w:t>
            </w:r>
          </w:p>
          <w:p w14:paraId="13856800" w14:textId="221BEFCC" w:rsidR="004E6444" w:rsidRDefault="004E6444" w:rsidP="004E6444">
            <w:pPr>
              <w:pStyle w:val="Odstavecseseznamem"/>
              <w:numPr>
                <w:ilvl w:val="0"/>
                <w:numId w:val="10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vymezující náhradní projekty a možnosti jejich podpory – kapitola č. 5</w:t>
            </w:r>
          </w:p>
          <w:p w14:paraId="66EB06C8" w14:textId="6B5FB285" w:rsidR="004E6444" w:rsidRDefault="004E6444" w:rsidP="004E6444">
            <w:pPr>
              <w:pStyle w:val="Odstavecseseznamem"/>
              <w:numPr>
                <w:ilvl w:val="0"/>
                <w:numId w:val="10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možnost podat žádost o přezkum hodnocení či stížnost – kapitola č. 6</w:t>
            </w:r>
          </w:p>
          <w:p w14:paraId="5FC5A664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Výzvě MAS je nadřazena Výzva ŘO IROP a dokumenty s ní související. </w:t>
            </w:r>
          </w:p>
          <w:p w14:paraId="29F6924A" w14:textId="384C3CCF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091824D4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8855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Forma a způsob podání žádosti o podporu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7C2" w14:textId="43FA9F5D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 podání projektového záměru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4. </w:t>
            </w:r>
          </w:p>
          <w:p w14:paraId="47763AC8" w14:textId="77777777" w:rsidR="004E6444" w:rsidRDefault="004E6444" w:rsidP="004E6444">
            <w:r>
              <w:t>Způsob podávání projektového záměru do vyhlášené výzvy MAS bude probíhat</w:t>
            </w:r>
            <w:r w:rsidRPr="00E9351B">
              <w:t xml:space="preserve"> elektronickou formou</w:t>
            </w:r>
            <w:r>
              <w:t xml:space="preserve">. Součástí vyhlášené výzvy MAS je vzor projektového formuláře, který musí žadatel vyplnit. Žadatel projektový formulář vyplní, </w:t>
            </w:r>
            <w:r w:rsidRPr="00E9351B">
              <w:t>uloží ve formátu PDF a elektronicky podepíše nebo vytiskne a podepíše</w:t>
            </w:r>
            <w:r w:rsidRPr="00670FB7">
              <w:t>. Rovněž</w:t>
            </w:r>
            <w:r>
              <w:t xml:space="preserve"> obdobným způsobem připraví veškeré potřebné přílohy projektového záměru. Přílohy není nutné podepisovat. </w:t>
            </w:r>
          </w:p>
          <w:p w14:paraId="585688D5" w14:textId="77777777" w:rsidR="004E6444" w:rsidRDefault="004E6444" w:rsidP="004E6444">
            <w:r>
              <w:t>Kompletně připravený projektový záměr následně žadatel</w:t>
            </w:r>
            <w:r w:rsidRPr="006533AA">
              <w:t xml:space="preserve"> odešle na e-mailovou adresu </w:t>
            </w:r>
            <w:hyperlink r:id="rId10" w:history="1">
              <w:r w:rsidRPr="00032370">
                <w:rPr>
                  <w:rStyle w:val="Hypertextovodkaz"/>
                </w:rPr>
                <w:t>irop@kyjovske-slovacko.com</w:t>
              </w:r>
            </w:hyperlink>
            <w:r>
              <w:t xml:space="preserve"> a současně také </w:t>
            </w:r>
            <w:r w:rsidRPr="00DB2D95">
              <w:t>datovou schránkou do datové schránky MAS</w:t>
            </w:r>
            <w:r>
              <w:t>. Zaslání oběma způsoby je nezbytné z důvodu zajištění časového údaje pro přijetí žádosti a archivace komunikace MAS s žadatelem.</w:t>
            </w:r>
          </w:p>
          <w:p w14:paraId="0CD60205" w14:textId="0ACC48CC" w:rsidR="004E6444" w:rsidRPr="00670FB7" w:rsidRDefault="004E6444" w:rsidP="004E6444">
            <w:r>
              <w:t xml:space="preserve">Projektové záměry, které budou doručeny později, než je stanoveno výzvou, budou automaticky vyřazeny z procesu posouzení souladu projektových záměrů se SCLLD 21-27. Za doručení projektového </w:t>
            </w:r>
            <w:r w:rsidRPr="008F5C7F">
              <w:t>záměru je považován datum a čas dodání uveřejněný na příchozí zprávě z datové schránky.</w:t>
            </w:r>
          </w:p>
        </w:tc>
      </w:tr>
      <w:tr w:rsidR="004E6444" w:rsidRPr="00BA701F" w14:paraId="4B2A4F27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99687" w14:textId="07B21DEF" w:rsidR="004E6444" w:rsidRPr="00E67CFD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262A0A">
              <w:rPr>
                <w:rFonts w:eastAsia="Times New Roman"/>
                <w:b/>
                <w:bCs/>
                <w:color w:val="000000"/>
              </w:rPr>
              <w:t xml:space="preserve">Odkaz na Interní postupy MAS a Výzvu MAS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866" w14:textId="77777777" w:rsidR="00BA6C5A" w:rsidRDefault="00BA6C5A" w:rsidP="00C3649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  <w:p w14:paraId="6963AC26" w14:textId="08E4DCE8" w:rsidR="00C36494" w:rsidRDefault="0048085B" w:rsidP="00C36494">
            <w:pPr>
              <w:spacing w:after="0"/>
              <w:jc w:val="left"/>
            </w:pPr>
            <w:hyperlink r:id="rId11" w:history="1">
              <w:r w:rsidR="0067133D" w:rsidRPr="00CF6089">
                <w:rPr>
                  <w:rStyle w:val="Hypertextovodkaz"/>
                </w:rPr>
                <w:t>https://www.kyjovske-slovacko.com/cs/10-vyzva-irop-21-socialni-sluzby</w:t>
              </w:r>
            </w:hyperlink>
          </w:p>
          <w:p w14:paraId="6820BE1D" w14:textId="174FBF1E" w:rsidR="0067133D" w:rsidRPr="00BA701F" w:rsidRDefault="0067133D" w:rsidP="00C3649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3E69C5E8" w14:textId="77777777" w:rsidTr="00164EB5">
        <w:trPr>
          <w:trHeight w:val="684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B653C" w14:textId="77777777" w:rsidR="004E6444" w:rsidRPr="00E67CFD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1E18C5">
              <w:rPr>
                <w:rFonts w:eastAsia="Times New Roman"/>
                <w:b/>
                <w:bCs/>
                <w:color w:val="000000"/>
              </w:rPr>
              <w:t>Odkaz na Obecná a Specifická pravidla výzvy ŘO IROP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F02" w14:textId="613404AF" w:rsidR="004E6444" w:rsidRDefault="004E6444" w:rsidP="004E6444">
            <w:pPr>
              <w:spacing w:after="0"/>
              <w:jc w:val="left"/>
            </w:pPr>
            <w:r>
              <w:rPr>
                <w:rFonts w:eastAsia="Times New Roman"/>
                <w:color w:val="000000"/>
              </w:rPr>
              <w:t>Obecná pravidla:</w:t>
            </w:r>
            <w:r w:rsidR="001E18C5">
              <w:t xml:space="preserve"> </w:t>
            </w:r>
            <w:hyperlink r:id="rId12" w:history="1">
              <w:r w:rsidR="0067133D" w:rsidRPr="00CF6089">
                <w:rPr>
                  <w:rStyle w:val="Hypertextovodkaz"/>
                </w:rPr>
                <w:t>https://irop.gov.cz/getmedia/7d91b14c-61ad-457f-b6c8-f5c2998682e3/Obecna-pravidla-2021-2027_verze-5.pdf.aspx?ext=.pdf</w:t>
              </w:r>
            </w:hyperlink>
          </w:p>
          <w:p w14:paraId="0851D02D" w14:textId="77777777" w:rsidR="00E67CFD" w:rsidRDefault="00E67CFD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  <w:p w14:paraId="157AB540" w14:textId="5FCF6440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Specifická pravidla:</w:t>
            </w:r>
          </w:p>
          <w:p w14:paraId="1A3B21CB" w14:textId="0F7D3EC7" w:rsidR="00C36494" w:rsidRDefault="0048085B" w:rsidP="00E67CFD">
            <w:pPr>
              <w:spacing w:after="0"/>
              <w:jc w:val="left"/>
            </w:pPr>
            <w:hyperlink r:id="rId13" w:history="1">
              <w:r w:rsidR="0067133D" w:rsidRPr="00CF6089">
                <w:rPr>
                  <w:rStyle w:val="Hypertextovodkaz"/>
                </w:rPr>
                <w:t>https://irop.gov.cz/getmedia/2bfa2275-5925-4ab6-8417-c791ebd578f3/Specificka-pravidla-vyzvy-c-49-SOCIALNI-SLUZBY_CLLD_v2.pdf.aspx?ext=.pdf</w:t>
              </w:r>
            </w:hyperlink>
          </w:p>
          <w:p w14:paraId="4344B893" w14:textId="719C74D6" w:rsidR="0067133D" w:rsidRPr="00BA701F" w:rsidRDefault="0067133D" w:rsidP="00E67CFD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1520696B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A1B56" w14:textId="77777777" w:rsidR="004E6444" w:rsidRPr="00E67CFD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262A0A">
              <w:rPr>
                <w:rFonts w:eastAsia="Times New Roman"/>
                <w:b/>
                <w:bCs/>
                <w:color w:val="000000"/>
              </w:rPr>
              <w:t>Odkaz na nadřazenou Výzvu ŘO IROP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D7C" w14:textId="39C3E275" w:rsidR="00BA6C5A" w:rsidRDefault="0048085B" w:rsidP="00E67CFD">
            <w:pPr>
              <w:spacing w:after="0"/>
              <w:jc w:val="left"/>
            </w:pPr>
            <w:hyperlink r:id="rId14" w:history="1">
              <w:r w:rsidR="0067133D" w:rsidRPr="00CF6089">
                <w:rPr>
                  <w:rStyle w:val="Hypertextovodkaz"/>
                </w:rPr>
                <w:t>https://irop.gov.cz/cs/vyzvy-2021-2027/vyzvy/49vyzvairop</w:t>
              </w:r>
            </w:hyperlink>
          </w:p>
          <w:p w14:paraId="6A713C3A" w14:textId="626C8F09" w:rsidR="0067133D" w:rsidRPr="00BA701F" w:rsidRDefault="0067133D" w:rsidP="00E67CFD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4061583C" w14:textId="77777777" w:rsidTr="00164EB5">
        <w:trPr>
          <w:trHeight w:val="288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FA60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Kontakty pro poskytování informací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926" w14:textId="5E2BF404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 xml:space="preserve">Kontaktní údaje na pracovníky Kyjovského Slovácka v </w:t>
            </w:r>
            <w:proofErr w:type="gramStart"/>
            <w:r w:rsidRPr="00DC2E4B"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 w:rsidRPr="00DC2E4B">
              <w:rPr>
                <w:rFonts w:eastAsia="Times New Roman"/>
                <w:color w:val="000000"/>
              </w:rPr>
              <w:t>z.s</w:t>
            </w:r>
            <w:proofErr w:type="spellEnd"/>
            <w:r w:rsidRPr="00DC2E4B">
              <w:rPr>
                <w:rFonts w:eastAsia="Times New Roman"/>
                <w:color w:val="000000"/>
              </w:rPr>
              <w:t>.</w:t>
            </w:r>
            <w:proofErr w:type="gramEnd"/>
            <w:r w:rsidRPr="00DC2E4B">
              <w:rPr>
                <w:rFonts w:eastAsia="Times New Roman"/>
                <w:color w:val="000000"/>
              </w:rPr>
              <w:t>:</w:t>
            </w:r>
          </w:p>
          <w:p w14:paraId="14464384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Ing. Tomáš Kolařík</w:t>
            </w:r>
          </w:p>
          <w:p w14:paraId="6698D92C" w14:textId="6667B7D4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mobil</w:t>
            </w:r>
            <w:r w:rsidRPr="00DC2E4B">
              <w:rPr>
                <w:rFonts w:eastAsia="Times New Roman"/>
                <w:color w:val="000000"/>
              </w:rPr>
              <w:t>: 775 766 469</w:t>
            </w:r>
          </w:p>
          <w:p w14:paraId="10D04BFF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e-mail: tomaskolarik@kyjovske-slovacko.com</w:t>
            </w:r>
          </w:p>
          <w:p w14:paraId="3BB2233B" w14:textId="588E6BBC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Hana Horňáková</w:t>
            </w:r>
          </w:p>
          <w:p w14:paraId="3BFE72C3" w14:textId="1D3B2E6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mobil</w:t>
            </w:r>
            <w:r w:rsidRPr="00DC2E4B">
              <w:rPr>
                <w:rFonts w:eastAsia="Times New Roman"/>
                <w:color w:val="000000"/>
              </w:rPr>
              <w:t>: 774 664 668</w:t>
            </w:r>
          </w:p>
          <w:p w14:paraId="2B8584FF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e-mail: hanahornakova@kyjovske-slovacko.com</w:t>
            </w:r>
          </w:p>
          <w:p w14:paraId="79F67CB5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lastRenderedPageBreak/>
              <w:t>Poskytují informace při zpracování žádosti o podporu a posouzení jejího souladu s výzvou MAS.</w:t>
            </w:r>
          </w:p>
          <w:p w14:paraId="1C9DA44A" w14:textId="0F94BC3C" w:rsidR="004E6444" w:rsidRDefault="0048085B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hyperlink r:id="rId15" w:history="1">
              <w:r w:rsidR="004E6444" w:rsidRPr="0069367E">
                <w:rPr>
                  <w:rStyle w:val="Hypertextovodkaz"/>
                  <w:rFonts w:eastAsia="Times New Roman"/>
                </w:rPr>
                <w:t>https://www.kyjovske-slovacko.com/cs/kontakty</w:t>
              </w:r>
            </w:hyperlink>
          </w:p>
          <w:p w14:paraId="1729F9D0" w14:textId="026FF884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16AB3B3A" w14:textId="77777777" w:rsidTr="00164EB5">
        <w:trPr>
          <w:trHeight w:val="288"/>
        </w:trPr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CE0F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lastRenderedPageBreak/>
              <w:t>Seznam příloh výzvy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49A" w14:textId="29EDA7CE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Formulář projektového záměru</w:t>
            </w:r>
          </w:p>
        </w:tc>
      </w:tr>
      <w:tr w:rsidR="004E6444" w:rsidRPr="00BA701F" w14:paraId="1AA4B614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ED66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6EA" w14:textId="7533E337" w:rsidR="004E6444" w:rsidRPr="00802765" w:rsidRDefault="00CB754F" w:rsidP="004E6444">
            <w:r>
              <w:rPr>
                <w:rFonts w:eastAsia="Times New Roman"/>
                <w:color w:val="000000"/>
              </w:rPr>
              <w:t xml:space="preserve">2. </w:t>
            </w:r>
            <w:r w:rsidR="004E6444">
              <w:rPr>
                <w:rFonts w:eastAsia="Times New Roman"/>
                <w:color w:val="000000"/>
              </w:rPr>
              <w:t xml:space="preserve">Kritéria </w:t>
            </w:r>
            <w:r w:rsidR="004E6444">
              <w:t xml:space="preserve">pro posouzení </w:t>
            </w:r>
            <w:r w:rsidR="004E6444" w:rsidRPr="00AA469E">
              <w:t>administrativní</w:t>
            </w:r>
            <w:r w:rsidR="004E6444" w:rsidRPr="00BC614C">
              <w:t xml:space="preserve"> </w:t>
            </w:r>
            <w:r w:rsidR="004E6444">
              <w:t>fáze procesu souladu</w:t>
            </w:r>
            <w:r w:rsidR="004E6444" w:rsidRPr="0047196C">
              <w:t xml:space="preserve"> </w:t>
            </w:r>
            <w:r w:rsidR="004E6444" w:rsidRPr="000C3A74">
              <w:t>projektového záměru se SCLLD</w:t>
            </w:r>
          </w:p>
        </w:tc>
      </w:tr>
      <w:tr w:rsidR="004E6444" w:rsidRPr="00BA701F" w14:paraId="18A1C857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34A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64D" w14:textId="68D2657A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t xml:space="preserve">3. Kritéria pro posouzení věcné fáze procesu souladu </w:t>
            </w:r>
            <w:r w:rsidRPr="000C3A74">
              <w:t>projektového záměru se SCLLD</w:t>
            </w:r>
          </w:p>
        </w:tc>
      </w:tr>
      <w:tr w:rsidR="004E6444" w:rsidRPr="00BA701F" w14:paraId="46D69FB9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635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65C" w14:textId="5FE162D7" w:rsidR="004E6444" w:rsidRPr="00BA701F" w:rsidRDefault="004E6444" w:rsidP="00BA6C5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4. </w:t>
            </w:r>
            <w:r w:rsidRPr="000C3A74">
              <w:t>Vyjádření MAS o souladu projektového záměru se SCLLD 21-27</w:t>
            </w:r>
          </w:p>
        </w:tc>
      </w:tr>
      <w:tr w:rsidR="004E6444" w:rsidRPr="00BA701F" w14:paraId="349BE10B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00E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661" w14:textId="4D1DD359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5.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 xml:space="preserve">pohybu, </w:t>
            </w:r>
            <w:proofErr w:type="spellStart"/>
            <w:r>
              <w:rPr>
                <w:rFonts w:eastAsia="Times New Roman"/>
                <w:color w:val="000000"/>
              </w:rPr>
              <w:t>z.s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</w:t>
            </w:r>
          </w:p>
        </w:tc>
      </w:tr>
      <w:tr w:rsidR="00946558" w:rsidRPr="00BA701F" w14:paraId="1341859A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99D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4F9" w14:textId="3AD12E0F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6. Seznam podpořených žadatelů MAS v IROP 21+</w:t>
            </w:r>
          </w:p>
        </w:tc>
      </w:tr>
      <w:tr w:rsidR="00946558" w:rsidRPr="00BA701F" w14:paraId="4EF93225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30F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68C" w14:textId="39803915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7. </w:t>
            </w:r>
            <w:r w:rsidR="00F15721">
              <w:rPr>
                <w:rFonts w:asciiTheme="minorHAnsi" w:eastAsia="Arial" w:hAnsiTheme="minorHAnsi" w:cstheme="minorHAnsi"/>
              </w:rPr>
              <w:t>Dokument Minimální sítě sociálních služeb v ORP Kyjov pro rok 2026</w:t>
            </w:r>
          </w:p>
        </w:tc>
      </w:tr>
      <w:tr w:rsidR="00946558" w:rsidRPr="00BA701F" w14:paraId="1C3DC9EB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281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4BA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946558" w:rsidRPr="00BA701F" w14:paraId="453ED8FC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A13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C3D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946558" w:rsidRPr="00BA701F" w14:paraId="4FD5D627" w14:textId="77777777" w:rsidTr="00164EB5">
        <w:trPr>
          <w:trHeight w:val="288"/>
        </w:trPr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9CF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101" w14:textId="77777777" w:rsidR="00946558" w:rsidRPr="00BA701F" w:rsidRDefault="00946558" w:rsidP="00946558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</w:tbl>
    <w:p w14:paraId="70B93C4A" w14:textId="46C644AD" w:rsidR="00A96558" w:rsidRDefault="00A96558" w:rsidP="00A96558">
      <w:pPr>
        <w:spacing w:after="160" w:line="259" w:lineRule="auto"/>
        <w:jc w:val="left"/>
        <w:rPr>
          <w:rFonts w:ascii="Arial" w:eastAsia="Arial" w:hAnsi="Arial" w:cs="Arial"/>
          <w:b/>
          <w:u w:val="single"/>
        </w:rPr>
      </w:pPr>
    </w:p>
    <w:p w14:paraId="4FC24436" w14:textId="77777777" w:rsidR="00A96558" w:rsidRPr="00A96558" w:rsidRDefault="00A96558" w:rsidP="00A96558">
      <w:pPr>
        <w:rPr>
          <w:rFonts w:ascii="Arial" w:eastAsia="Arial" w:hAnsi="Arial" w:cs="Arial"/>
        </w:rPr>
      </w:pPr>
    </w:p>
    <w:sectPr w:rsidR="00A96558" w:rsidRPr="00A96558" w:rsidSect="004738DF">
      <w:headerReference w:type="first" r:id="rId16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39A7" w14:textId="77777777" w:rsidR="00A3692C" w:rsidRDefault="00A3692C" w:rsidP="00A3692C">
      <w:pPr>
        <w:spacing w:after="0"/>
      </w:pPr>
      <w:r>
        <w:separator/>
      </w:r>
    </w:p>
  </w:endnote>
  <w:endnote w:type="continuationSeparator" w:id="0">
    <w:p w14:paraId="2D88B80B" w14:textId="77777777" w:rsidR="00A3692C" w:rsidRDefault="00A3692C" w:rsidP="00A36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4530" w14:textId="77777777" w:rsidR="00A3692C" w:rsidRDefault="00A3692C" w:rsidP="00A3692C">
      <w:pPr>
        <w:spacing w:after="0"/>
      </w:pPr>
      <w:r>
        <w:separator/>
      </w:r>
    </w:p>
  </w:footnote>
  <w:footnote w:type="continuationSeparator" w:id="0">
    <w:p w14:paraId="77C0C29B" w14:textId="77777777" w:rsidR="00A3692C" w:rsidRDefault="00A3692C" w:rsidP="00A36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A5A84" w14:textId="2161AFE3" w:rsidR="00A3692C" w:rsidRDefault="0048085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F7DAC" wp14:editId="1BD29281">
          <wp:simplePos x="0" y="0"/>
          <wp:positionH relativeFrom="column">
            <wp:posOffset>5580512</wp:posOffset>
          </wp:positionH>
          <wp:positionV relativeFrom="paragraph">
            <wp:posOffset>-306070</wp:posOffset>
          </wp:positionV>
          <wp:extent cx="717491" cy="620372"/>
          <wp:effectExtent l="0" t="0" r="6985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91" cy="620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DE8FF7" wp14:editId="2126A530">
          <wp:simplePos x="0" y="0"/>
          <wp:positionH relativeFrom="column">
            <wp:posOffset>-259715</wp:posOffset>
          </wp:positionH>
          <wp:positionV relativeFrom="paragraph">
            <wp:posOffset>-205740</wp:posOffset>
          </wp:positionV>
          <wp:extent cx="3747600" cy="450000"/>
          <wp:effectExtent l="0" t="0" r="5715" b="762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BB8"/>
    <w:multiLevelType w:val="hybridMultilevel"/>
    <w:tmpl w:val="2CC87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C3668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7A2"/>
    <w:multiLevelType w:val="hybridMultilevel"/>
    <w:tmpl w:val="B4A46824"/>
    <w:lvl w:ilvl="0" w:tplc="8D6CFDAA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A2874"/>
    <w:multiLevelType w:val="hybridMultilevel"/>
    <w:tmpl w:val="45846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658AE"/>
    <w:multiLevelType w:val="hybridMultilevel"/>
    <w:tmpl w:val="B7189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6720"/>
    <w:multiLevelType w:val="hybridMultilevel"/>
    <w:tmpl w:val="FA262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B03FC"/>
    <w:multiLevelType w:val="multilevel"/>
    <w:tmpl w:val="FF841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95D2AB0"/>
    <w:multiLevelType w:val="hybridMultilevel"/>
    <w:tmpl w:val="9E302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95829"/>
    <w:multiLevelType w:val="hybridMultilevel"/>
    <w:tmpl w:val="D722C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235A"/>
    <w:multiLevelType w:val="hybridMultilevel"/>
    <w:tmpl w:val="FD009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A1E87"/>
    <w:multiLevelType w:val="hybridMultilevel"/>
    <w:tmpl w:val="CC1E38D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4642A7D"/>
    <w:multiLevelType w:val="hybridMultilevel"/>
    <w:tmpl w:val="83A266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82EB4"/>
    <w:multiLevelType w:val="hybridMultilevel"/>
    <w:tmpl w:val="E6201844"/>
    <w:lvl w:ilvl="0" w:tplc="8D6CFD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B632C"/>
    <w:multiLevelType w:val="hybridMultilevel"/>
    <w:tmpl w:val="DB2CA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F1BA5"/>
    <w:multiLevelType w:val="hybridMultilevel"/>
    <w:tmpl w:val="5FB29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77F8"/>
    <w:multiLevelType w:val="hybridMultilevel"/>
    <w:tmpl w:val="7388C1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23BDC"/>
    <w:multiLevelType w:val="hybridMultilevel"/>
    <w:tmpl w:val="62FA7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16"/>
  </w:num>
  <w:num w:numId="11">
    <w:abstractNumId w:val="6"/>
  </w:num>
  <w:num w:numId="12">
    <w:abstractNumId w:val="4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C"/>
    <w:rsid w:val="00055872"/>
    <w:rsid w:val="0005725C"/>
    <w:rsid w:val="00071D19"/>
    <w:rsid w:val="000845C9"/>
    <w:rsid w:val="00097D61"/>
    <w:rsid w:val="000C0454"/>
    <w:rsid w:val="000D76F3"/>
    <w:rsid w:val="000F54F4"/>
    <w:rsid w:val="000F6E92"/>
    <w:rsid w:val="00127F9F"/>
    <w:rsid w:val="00143E7F"/>
    <w:rsid w:val="001451BC"/>
    <w:rsid w:val="00147474"/>
    <w:rsid w:val="00164EB5"/>
    <w:rsid w:val="00171648"/>
    <w:rsid w:val="001949C6"/>
    <w:rsid w:val="001B2403"/>
    <w:rsid w:val="001B298F"/>
    <w:rsid w:val="001C1BDF"/>
    <w:rsid w:val="001C72BF"/>
    <w:rsid w:val="001D15A9"/>
    <w:rsid w:val="001E18C5"/>
    <w:rsid w:val="002130AC"/>
    <w:rsid w:val="00221188"/>
    <w:rsid w:val="002221F6"/>
    <w:rsid w:val="00231A4D"/>
    <w:rsid w:val="00244C75"/>
    <w:rsid w:val="00262A0A"/>
    <w:rsid w:val="00281B03"/>
    <w:rsid w:val="00291BCD"/>
    <w:rsid w:val="00295FFC"/>
    <w:rsid w:val="002E34AE"/>
    <w:rsid w:val="002E37E6"/>
    <w:rsid w:val="002F365C"/>
    <w:rsid w:val="003100C4"/>
    <w:rsid w:val="003620FB"/>
    <w:rsid w:val="003758BD"/>
    <w:rsid w:val="00377A4D"/>
    <w:rsid w:val="00383C8B"/>
    <w:rsid w:val="003D0BC4"/>
    <w:rsid w:val="003D0C9B"/>
    <w:rsid w:val="00407375"/>
    <w:rsid w:val="004147E4"/>
    <w:rsid w:val="0041673B"/>
    <w:rsid w:val="0043455A"/>
    <w:rsid w:val="0043799C"/>
    <w:rsid w:val="00441FFE"/>
    <w:rsid w:val="004738DF"/>
    <w:rsid w:val="0048085B"/>
    <w:rsid w:val="004813E5"/>
    <w:rsid w:val="004A2920"/>
    <w:rsid w:val="004B1271"/>
    <w:rsid w:val="004C6A1E"/>
    <w:rsid w:val="004D4998"/>
    <w:rsid w:val="004E1A59"/>
    <w:rsid w:val="004E6444"/>
    <w:rsid w:val="0051596C"/>
    <w:rsid w:val="00517866"/>
    <w:rsid w:val="00532619"/>
    <w:rsid w:val="00541C58"/>
    <w:rsid w:val="00550CD1"/>
    <w:rsid w:val="0055615B"/>
    <w:rsid w:val="0055766E"/>
    <w:rsid w:val="00570CC7"/>
    <w:rsid w:val="00573912"/>
    <w:rsid w:val="0058216C"/>
    <w:rsid w:val="00592EB2"/>
    <w:rsid w:val="005B1109"/>
    <w:rsid w:val="005C277B"/>
    <w:rsid w:val="005C2C7A"/>
    <w:rsid w:val="005D1B99"/>
    <w:rsid w:val="005D795B"/>
    <w:rsid w:val="005E62C2"/>
    <w:rsid w:val="005E7FE5"/>
    <w:rsid w:val="006005AD"/>
    <w:rsid w:val="00606EFB"/>
    <w:rsid w:val="00607B07"/>
    <w:rsid w:val="00627227"/>
    <w:rsid w:val="00643765"/>
    <w:rsid w:val="00652F7A"/>
    <w:rsid w:val="00670FB7"/>
    <w:rsid w:val="0067133D"/>
    <w:rsid w:val="006A7B56"/>
    <w:rsid w:val="006B5A7B"/>
    <w:rsid w:val="006B7EF3"/>
    <w:rsid w:val="006C0080"/>
    <w:rsid w:val="007234CE"/>
    <w:rsid w:val="007236AE"/>
    <w:rsid w:val="00753D29"/>
    <w:rsid w:val="007A2B23"/>
    <w:rsid w:val="007D4743"/>
    <w:rsid w:val="00802765"/>
    <w:rsid w:val="00815957"/>
    <w:rsid w:val="00824F87"/>
    <w:rsid w:val="00831EA2"/>
    <w:rsid w:val="008505F6"/>
    <w:rsid w:val="00854914"/>
    <w:rsid w:val="00864AAF"/>
    <w:rsid w:val="00890448"/>
    <w:rsid w:val="008C05A2"/>
    <w:rsid w:val="008E1B08"/>
    <w:rsid w:val="008F6097"/>
    <w:rsid w:val="00920A06"/>
    <w:rsid w:val="00922EC1"/>
    <w:rsid w:val="00946558"/>
    <w:rsid w:val="009579D0"/>
    <w:rsid w:val="00971625"/>
    <w:rsid w:val="00984C27"/>
    <w:rsid w:val="009B087C"/>
    <w:rsid w:val="009D49D2"/>
    <w:rsid w:val="009D7659"/>
    <w:rsid w:val="009E4032"/>
    <w:rsid w:val="009F1E2D"/>
    <w:rsid w:val="00A3692C"/>
    <w:rsid w:val="00A43823"/>
    <w:rsid w:val="00A71BFC"/>
    <w:rsid w:val="00A861A0"/>
    <w:rsid w:val="00A93A37"/>
    <w:rsid w:val="00A96558"/>
    <w:rsid w:val="00AC1DC6"/>
    <w:rsid w:val="00AD6C85"/>
    <w:rsid w:val="00AF2CC2"/>
    <w:rsid w:val="00AF71E4"/>
    <w:rsid w:val="00B0050E"/>
    <w:rsid w:val="00B04193"/>
    <w:rsid w:val="00B16F51"/>
    <w:rsid w:val="00B26049"/>
    <w:rsid w:val="00B57858"/>
    <w:rsid w:val="00B72089"/>
    <w:rsid w:val="00B8766A"/>
    <w:rsid w:val="00B952B8"/>
    <w:rsid w:val="00BA1720"/>
    <w:rsid w:val="00BA6C5A"/>
    <w:rsid w:val="00BB2406"/>
    <w:rsid w:val="00BD2AF7"/>
    <w:rsid w:val="00BF26A4"/>
    <w:rsid w:val="00C1373B"/>
    <w:rsid w:val="00C27575"/>
    <w:rsid w:val="00C36494"/>
    <w:rsid w:val="00C40D5B"/>
    <w:rsid w:val="00C57C28"/>
    <w:rsid w:val="00C71BE8"/>
    <w:rsid w:val="00CB41D9"/>
    <w:rsid w:val="00CB754F"/>
    <w:rsid w:val="00CC6493"/>
    <w:rsid w:val="00D06132"/>
    <w:rsid w:val="00D064DC"/>
    <w:rsid w:val="00D47BD0"/>
    <w:rsid w:val="00D7257E"/>
    <w:rsid w:val="00D77450"/>
    <w:rsid w:val="00DB2DF0"/>
    <w:rsid w:val="00DB3AD4"/>
    <w:rsid w:val="00DC2C7D"/>
    <w:rsid w:val="00DC2E4B"/>
    <w:rsid w:val="00DC522E"/>
    <w:rsid w:val="00E4371C"/>
    <w:rsid w:val="00E62F22"/>
    <w:rsid w:val="00E67CFD"/>
    <w:rsid w:val="00E82167"/>
    <w:rsid w:val="00E97716"/>
    <w:rsid w:val="00EA055F"/>
    <w:rsid w:val="00EA44F1"/>
    <w:rsid w:val="00F15721"/>
    <w:rsid w:val="00F249B2"/>
    <w:rsid w:val="00F3279E"/>
    <w:rsid w:val="00F75564"/>
    <w:rsid w:val="00F77EF5"/>
    <w:rsid w:val="00F82DAD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DA6E3A"/>
  <w15:chartTrackingRefBased/>
  <w15:docId w15:val="{CC62AF63-7029-44B2-9A49-266CF57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29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26049"/>
  </w:style>
  <w:style w:type="paragraph" w:customStyle="1" w:styleId="Default">
    <w:name w:val="Default"/>
    <w:rsid w:val="00592E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2E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673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7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7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7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7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7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765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692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692C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jovske-slovacko.com/sites/default/files/prilohy/2022/01/clld_21_04_127_signovana_pro_podani_do_ms2021.pdf" TargetMode="External"/><Relationship Id="rId13" Type="http://schemas.openxmlformats.org/officeDocument/2006/relationships/hyperlink" Target="https://irop.gov.cz/getmedia/2bfa2275-5925-4ab6-8417-c791ebd578f3/Specificka-pravidla-vyzvy-c-49-SOCIALNI-SLUZBY_CLLD_v2.pdf.aspx?ext=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op.gov.cz/getmedia/7d91b14c-61ad-457f-b6c8-f5c2998682e3/Obecna-pravidla-2021-2027_verze-5.pdf.aspx?ext=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yjovske-slovacko.com/cs/10-vyzva-irop-21-socialni-sluz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yjovske-slovacko.com/cs/kontakty" TargetMode="External"/><Relationship Id="rId10" Type="http://schemas.openxmlformats.org/officeDocument/2006/relationships/hyperlink" Target="mailto:irop@kyjovske-slovack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jovske-slovacko.com/cs/mapy-uzemi" TargetMode="External"/><Relationship Id="rId14" Type="http://schemas.openxmlformats.org/officeDocument/2006/relationships/hyperlink" Target="https://irop.gov.cz/cs/vyzvy-2021-2027/vyzvy/49vyzvairo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B7F8-0D56-4D63-BB23-765E2F86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2038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142</cp:revision>
  <dcterms:created xsi:type="dcterms:W3CDTF">2023-04-17T12:53:00Z</dcterms:created>
  <dcterms:modified xsi:type="dcterms:W3CDTF">2026-03-10T13:49:00Z</dcterms:modified>
</cp:coreProperties>
</file>